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D92" w:rsidRDefault="00FC17DD">
      <w:pPr>
        <w:spacing w:after="120"/>
        <w:jc w:val="center"/>
        <w:rPr>
          <w:rFonts w:ascii="Arial" w:hAnsi="Arial"/>
          <w:b/>
          <w:sz w:val="28"/>
        </w:rPr>
      </w:pPr>
      <w:bookmarkStart w:id="0" w:name="_GoBack"/>
      <w:bookmarkEnd w:id="0"/>
      <w:r>
        <w:rPr>
          <w:rFonts w:ascii="Arial" w:hAnsi="Arial"/>
          <w:b/>
          <w:sz w:val="28"/>
        </w:rPr>
        <w:t>Projet d’A</w:t>
      </w:r>
      <w:r w:rsidR="009C0D92">
        <w:rPr>
          <w:rFonts w:ascii="Arial" w:hAnsi="Arial"/>
          <w:b/>
          <w:sz w:val="28"/>
        </w:rPr>
        <w:t xml:space="preserve">ménagement de la forêt communale de </w:t>
      </w:r>
      <w:r>
        <w:rPr>
          <w:rFonts w:ascii="Arial" w:hAnsi="Arial"/>
          <w:b/>
          <w:sz w:val="28"/>
        </w:rPr>
        <w:t>Neufchâteau</w:t>
      </w:r>
    </w:p>
    <w:p w:rsidR="009C0D92" w:rsidRDefault="009C0D92">
      <w:pPr>
        <w:pStyle w:val="Titre2"/>
      </w:pPr>
      <w:r>
        <w:t>Présentation synthétique</w:t>
      </w:r>
    </w:p>
    <w:p w:rsidR="00EA7333" w:rsidRDefault="00EA7333" w:rsidP="00EA7333"/>
    <w:p w:rsidR="009C0D92" w:rsidRDefault="009C0D92" w:rsidP="00EA7333">
      <w:pPr>
        <w:pStyle w:val="Titre1"/>
        <w:numPr>
          <w:ilvl w:val="0"/>
          <w:numId w:val="5"/>
        </w:numPr>
        <w:spacing w:after="120"/>
      </w:pPr>
      <w:r>
        <w:t xml:space="preserve">Principales caractéristiques de la forêt communale de </w:t>
      </w:r>
      <w:r w:rsidR="00FC17DD">
        <w:t>Neufchâteau</w:t>
      </w:r>
    </w:p>
    <w:p w:rsidR="00EA7333" w:rsidRPr="00EA7333" w:rsidRDefault="00EA7333" w:rsidP="00EA7333"/>
    <w:p w:rsidR="009C0D92" w:rsidRDefault="009C0D92" w:rsidP="00CB5135">
      <w:pPr>
        <w:spacing w:after="120"/>
        <w:jc w:val="both"/>
        <w:rPr>
          <w:sz w:val="22"/>
        </w:rPr>
      </w:pPr>
      <w:r>
        <w:rPr>
          <w:sz w:val="22"/>
        </w:rPr>
        <w:t xml:space="preserve">La forêt communale de </w:t>
      </w:r>
      <w:r w:rsidR="00FC17DD">
        <w:rPr>
          <w:sz w:val="22"/>
        </w:rPr>
        <w:t>Neufchâteau</w:t>
      </w:r>
      <w:r>
        <w:rPr>
          <w:sz w:val="22"/>
        </w:rPr>
        <w:t xml:space="preserve"> couvre une superficie de </w:t>
      </w:r>
      <w:r w:rsidR="00FC17DD">
        <w:rPr>
          <w:b/>
          <w:sz w:val="22"/>
          <w:u w:val="single"/>
        </w:rPr>
        <w:t>1792,19</w:t>
      </w:r>
      <w:r>
        <w:rPr>
          <w:b/>
          <w:sz w:val="22"/>
          <w:u w:val="single"/>
        </w:rPr>
        <w:t xml:space="preserve"> ha</w:t>
      </w:r>
      <w:r w:rsidR="00F31011">
        <w:rPr>
          <w:sz w:val="22"/>
        </w:rPr>
        <w:t>. La plus grande partie</w:t>
      </w:r>
      <w:r>
        <w:rPr>
          <w:sz w:val="22"/>
        </w:rPr>
        <w:t xml:space="preserve"> </w:t>
      </w:r>
      <w:r w:rsidR="00CB5135">
        <w:rPr>
          <w:sz w:val="22"/>
        </w:rPr>
        <w:t xml:space="preserve">se trouve sur le territoire communal de </w:t>
      </w:r>
      <w:r w:rsidR="00FC17DD">
        <w:rPr>
          <w:sz w:val="22"/>
        </w:rPr>
        <w:t>Neufchâteau</w:t>
      </w:r>
      <w:r w:rsidR="00F31011">
        <w:rPr>
          <w:sz w:val="22"/>
        </w:rPr>
        <w:t>. Le solde se trouve sur l</w:t>
      </w:r>
      <w:r w:rsidR="00FC17DD">
        <w:rPr>
          <w:sz w:val="22"/>
        </w:rPr>
        <w:t>es</w:t>
      </w:r>
      <w:r w:rsidR="00F31011">
        <w:rPr>
          <w:sz w:val="22"/>
        </w:rPr>
        <w:t xml:space="preserve"> </w:t>
      </w:r>
      <w:r w:rsidR="00FC17DD">
        <w:rPr>
          <w:sz w:val="22"/>
        </w:rPr>
        <w:t>c</w:t>
      </w:r>
      <w:r w:rsidR="00F31011">
        <w:rPr>
          <w:sz w:val="22"/>
        </w:rPr>
        <w:t>ommune</w:t>
      </w:r>
      <w:r w:rsidR="00FC17DD">
        <w:rPr>
          <w:sz w:val="22"/>
        </w:rPr>
        <w:t>s</w:t>
      </w:r>
      <w:r w:rsidR="00F31011">
        <w:rPr>
          <w:sz w:val="22"/>
        </w:rPr>
        <w:t xml:space="preserve"> de </w:t>
      </w:r>
      <w:r w:rsidR="00FC17DD">
        <w:rPr>
          <w:sz w:val="22"/>
        </w:rPr>
        <w:t xml:space="preserve">Léglise et </w:t>
      </w:r>
      <w:proofErr w:type="spellStart"/>
      <w:r w:rsidR="00FC17DD">
        <w:rPr>
          <w:sz w:val="22"/>
        </w:rPr>
        <w:t>Herbeumont</w:t>
      </w:r>
      <w:proofErr w:type="spellEnd"/>
      <w:r w:rsidR="00CB5135">
        <w:rPr>
          <w:sz w:val="22"/>
        </w:rPr>
        <w:t>.</w:t>
      </w:r>
    </w:p>
    <w:p w:rsidR="009C0D92" w:rsidRDefault="00F31011" w:rsidP="00CB5135">
      <w:pPr>
        <w:pStyle w:val="Corpsdetexte"/>
      </w:pPr>
      <w:r>
        <w:t xml:space="preserve">Les derniers aménagements des bois communaux de </w:t>
      </w:r>
      <w:r w:rsidR="00FC17DD">
        <w:t>Neufchâteau</w:t>
      </w:r>
      <w:r>
        <w:t xml:space="preserve"> datent de 199</w:t>
      </w:r>
      <w:r w:rsidR="00FC17DD">
        <w:t>7.</w:t>
      </w:r>
      <w:r>
        <w:t xml:space="preserve"> </w:t>
      </w:r>
      <w:r w:rsidR="009C0D92">
        <w:t>Il était donc nécessaire de revoir</w:t>
      </w:r>
      <w:r>
        <w:t xml:space="preserve"> l’aménagement</w:t>
      </w:r>
      <w:r w:rsidR="009C0D92">
        <w:t xml:space="preserve">. Par ailleurs, ce nouvel aménagement a comme objectif de mener une </w:t>
      </w:r>
      <w:r w:rsidR="009C0D92">
        <w:rPr>
          <w:b/>
          <w:u w:val="single"/>
        </w:rPr>
        <w:t>réflexion nouvelle et globale sur la gestion de la propriété</w:t>
      </w:r>
      <w:r w:rsidR="009C0D92">
        <w:t xml:space="preserve">. A ce titre, il tiendra compte – plus formellement que par le passé – de la notion de </w:t>
      </w:r>
      <w:r w:rsidR="009C0D92">
        <w:rPr>
          <w:b/>
          <w:u w:val="single"/>
        </w:rPr>
        <w:t>multifonctionnalité de la forêt</w:t>
      </w:r>
      <w:r w:rsidR="009C0D92">
        <w:t>. C’est ainsi que le plan d’aménagement considère les aspects économiques (production de bois et chasse), écologiques (protection des sols</w:t>
      </w:r>
      <w:r w:rsidR="00BB530E" w:rsidRPr="00EA12EA">
        <w:t>, de l’air</w:t>
      </w:r>
      <w:r w:rsidR="009C0D92">
        <w:t xml:space="preserve"> et de l’eau, conservation de la forêt) et sociaux (tourisme et</w:t>
      </w:r>
      <w:r w:rsidR="00EA12EA">
        <w:t xml:space="preserve"> chasse).</w:t>
      </w:r>
    </w:p>
    <w:p w:rsidR="004D4954" w:rsidRDefault="004D4954" w:rsidP="00CB5135">
      <w:pPr>
        <w:pStyle w:val="Corpsdetexte"/>
      </w:pPr>
      <w:r w:rsidRPr="00226978">
        <w:t>Il importe de prendre également en compte l’évolution probable du climat à moyen terme, dans la mesure où les décisions d’aménagement engagent la forêt pour plusieurs décennies. En particulier, les c</w:t>
      </w:r>
      <w:r>
        <w:t>hangements escomptés prévoient, en</w:t>
      </w:r>
      <w:r w:rsidRPr="00226978">
        <w:t>t</w:t>
      </w:r>
      <w:r>
        <w:t>re autre</w:t>
      </w:r>
      <w:r w:rsidR="0052225F">
        <w:t>s</w:t>
      </w:r>
      <w:r>
        <w:t>,</w:t>
      </w:r>
      <w:r w:rsidRPr="00226978">
        <w:t xml:space="preserve"> </w:t>
      </w:r>
      <w:r>
        <w:t>une</w:t>
      </w:r>
      <w:r w:rsidRPr="00D62058">
        <w:t xml:space="preserve"> </w:t>
      </w:r>
      <w:r w:rsidRPr="00226978">
        <w:t>augmentation des températures moyenne</w:t>
      </w:r>
      <w:r w:rsidR="00BB530E">
        <w:t xml:space="preserve">s </w:t>
      </w:r>
      <w:r w:rsidR="00BB530E" w:rsidRPr="00EA12EA">
        <w:t xml:space="preserve">et </w:t>
      </w:r>
      <w:r w:rsidR="007A0393" w:rsidRPr="00EA12EA">
        <w:t>extrêmes,</w:t>
      </w:r>
      <w:r>
        <w:t xml:space="preserve"> des </w:t>
      </w:r>
      <w:r w:rsidRPr="00226978">
        <w:t>risques de sécheresse</w:t>
      </w:r>
      <w:r>
        <w:t xml:space="preserve"> accrus, d</w:t>
      </w:r>
      <w:r w:rsidRPr="00226978">
        <w:t>es événements de fortes précipitations plus fréquents</w:t>
      </w:r>
      <w:r>
        <w:t xml:space="preserve">, la </w:t>
      </w:r>
      <w:r w:rsidRPr="00226978">
        <w:t>possibilité d’accroissement de la fréquence et de la vio</w:t>
      </w:r>
      <w:r>
        <w:t>lence des épisodes de tempêtes</w:t>
      </w:r>
    </w:p>
    <w:p w:rsidR="009C0D92" w:rsidRDefault="009C0D92" w:rsidP="00CB5135">
      <w:pPr>
        <w:spacing w:after="120"/>
        <w:jc w:val="both"/>
        <w:rPr>
          <w:sz w:val="22"/>
        </w:rPr>
      </w:pPr>
      <w:r>
        <w:rPr>
          <w:sz w:val="22"/>
        </w:rPr>
        <w:t>La période de validit</w:t>
      </w:r>
      <w:r w:rsidR="00CB5135">
        <w:rPr>
          <w:sz w:val="22"/>
        </w:rPr>
        <w:t>é de l’aménagement est fixée à 3</w:t>
      </w:r>
      <w:r w:rsidR="004309E3">
        <w:rPr>
          <w:sz w:val="22"/>
        </w:rPr>
        <w:t>0 ans, mais il pourra</w:t>
      </w:r>
      <w:r>
        <w:rPr>
          <w:sz w:val="22"/>
        </w:rPr>
        <w:t xml:space="preserve"> être révisé plus tôt si nécessaire.</w:t>
      </w:r>
    </w:p>
    <w:p w:rsidR="00CB5135" w:rsidRDefault="00CB5135" w:rsidP="00CB5135">
      <w:pPr>
        <w:jc w:val="both"/>
        <w:rPr>
          <w:sz w:val="22"/>
          <w:szCs w:val="22"/>
        </w:rPr>
      </w:pPr>
      <w:r w:rsidRPr="00CB5135">
        <w:rPr>
          <w:sz w:val="22"/>
          <w:szCs w:val="22"/>
        </w:rPr>
        <w:t xml:space="preserve">La Forêt communale de </w:t>
      </w:r>
      <w:r w:rsidR="00FC17DD">
        <w:rPr>
          <w:sz w:val="22"/>
          <w:szCs w:val="22"/>
        </w:rPr>
        <w:t>Neufchâteau</w:t>
      </w:r>
      <w:r w:rsidRPr="00CB5135">
        <w:rPr>
          <w:sz w:val="22"/>
          <w:szCs w:val="22"/>
        </w:rPr>
        <w:t xml:space="preserve"> est principalement composée de hêtraies </w:t>
      </w:r>
      <w:r>
        <w:rPr>
          <w:sz w:val="22"/>
          <w:szCs w:val="22"/>
        </w:rPr>
        <w:t>(</w:t>
      </w:r>
      <w:proofErr w:type="spellStart"/>
      <w:r w:rsidR="00AE2BFC">
        <w:rPr>
          <w:sz w:val="22"/>
          <w:szCs w:val="22"/>
        </w:rPr>
        <w:t>L</w:t>
      </w:r>
      <w:r>
        <w:rPr>
          <w:sz w:val="22"/>
          <w:szCs w:val="22"/>
        </w:rPr>
        <w:t>uzulo</w:t>
      </w:r>
      <w:proofErr w:type="spellEnd"/>
      <w:r>
        <w:rPr>
          <w:sz w:val="22"/>
          <w:szCs w:val="22"/>
        </w:rPr>
        <w:t xml:space="preserve"> </w:t>
      </w:r>
      <w:proofErr w:type="spellStart"/>
      <w:r>
        <w:rPr>
          <w:sz w:val="22"/>
          <w:szCs w:val="22"/>
        </w:rPr>
        <w:t>fagetum</w:t>
      </w:r>
      <w:proofErr w:type="spellEnd"/>
      <w:r>
        <w:rPr>
          <w:sz w:val="22"/>
          <w:szCs w:val="22"/>
        </w:rPr>
        <w:t xml:space="preserve">) </w:t>
      </w:r>
      <w:r w:rsidRPr="00CB5135">
        <w:rPr>
          <w:sz w:val="22"/>
          <w:szCs w:val="22"/>
        </w:rPr>
        <w:t xml:space="preserve">et chênaies </w:t>
      </w:r>
      <w:r>
        <w:rPr>
          <w:sz w:val="22"/>
          <w:szCs w:val="22"/>
        </w:rPr>
        <w:t xml:space="preserve">acidophiles </w:t>
      </w:r>
      <w:r w:rsidRPr="00CB5135">
        <w:rPr>
          <w:sz w:val="22"/>
          <w:szCs w:val="22"/>
        </w:rPr>
        <w:t>pour les peuplements feuillus et de pessières pour les résineux.</w:t>
      </w:r>
    </w:p>
    <w:p w:rsidR="00532B0A" w:rsidRDefault="009C0D92" w:rsidP="00CB5135">
      <w:pPr>
        <w:spacing w:after="120"/>
        <w:jc w:val="both"/>
        <w:rPr>
          <w:sz w:val="22"/>
        </w:rPr>
      </w:pPr>
      <w:r>
        <w:rPr>
          <w:sz w:val="22"/>
        </w:rPr>
        <w:t xml:space="preserve">En termes d’occupation, </w:t>
      </w:r>
      <w:r w:rsidRPr="00227D72">
        <w:rPr>
          <w:b/>
          <w:sz w:val="22"/>
          <w:u w:val="single"/>
        </w:rPr>
        <w:t xml:space="preserve">les feuillus représentent </w:t>
      </w:r>
      <w:r w:rsidR="00CB5135">
        <w:rPr>
          <w:b/>
          <w:sz w:val="22"/>
          <w:u w:val="single"/>
        </w:rPr>
        <w:t>5</w:t>
      </w:r>
      <w:r w:rsidR="00FC17DD">
        <w:rPr>
          <w:b/>
          <w:sz w:val="22"/>
          <w:u w:val="single"/>
        </w:rPr>
        <w:t>4,7</w:t>
      </w:r>
      <w:r w:rsidRPr="00227D72">
        <w:rPr>
          <w:b/>
          <w:sz w:val="22"/>
          <w:u w:val="single"/>
        </w:rPr>
        <w:t>%</w:t>
      </w:r>
      <w:r w:rsidR="00FC17DD">
        <w:rPr>
          <w:b/>
          <w:sz w:val="22"/>
          <w:u w:val="single"/>
        </w:rPr>
        <w:t>,</w:t>
      </w:r>
      <w:r w:rsidR="0052225F">
        <w:rPr>
          <w:b/>
          <w:sz w:val="22"/>
          <w:u w:val="single"/>
        </w:rPr>
        <w:t xml:space="preserve"> les résineux</w:t>
      </w:r>
      <w:r w:rsidRPr="00532B0A">
        <w:rPr>
          <w:b/>
          <w:sz w:val="22"/>
          <w:u w:val="single"/>
        </w:rPr>
        <w:t xml:space="preserve"> </w:t>
      </w:r>
      <w:r w:rsidR="007A0393">
        <w:rPr>
          <w:b/>
          <w:sz w:val="22"/>
          <w:u w:val="single"/>
        </w:rPr>
        <w:t>4</w:t>
      </w:r>
      <w:r w:rsidR="00FC17DD">
        <w:rPr>
          <w:b/>
          <w:sz w:val="22"/>
          <w:u w:val="single"/>
        </w:rPr>
        <w:t>4,5</w:t>
      </w:r>
      <w:r w:rsidR="00532B0A" w:rsidRPr="00532B0A">
        <w:rPr>
          <w:b/>
          <w:sz w:val="22"/>
          <w:u w:val="single"/>
        </w:rPr>
        <w:t>%</w:t>
      </w:r>
      <w:r w:rsidR="00FC17DD">
        <w:rPr>
          <w:b/>
          <w:sz w:val="22"/>
          <w:u w:val="single"/>
        </w:rPr>
        <w:t xml:space="preserve"> et 0,8% de zones non forestières</w:t>
      </w:r>
      <w:r w:rsidRPr="00532B0A">
        <w:rPr>
          <w:b/>
          <w:sz w:val="22"/>
          <w:u w:val="single"/>
        </w:rPr>
        <w:t>.</w:t>
      </w:r>
      <w:r>
        <w:rPr>
          <w:sz w:val="22"/>
        </w:rPr>
        <w:t xml:space="preserve"> </w:t>
      </w:r>
    </w:p>
    <w:p w:rsidR="00CB5135" w:rsidRPr="00CB5135" w:rsidRDefault="00CB5135" w:rsidP="00CB5135">
      <w:pPr>
        <w:jc w:val="both"/>
        <w:rPr>
          <w:sz w:val="22"/>
          <w:szCs w:val="22"/>
        </w:rPr>
      </w:pPr>
      <w:r>
        <w:rPr>
          <w:b/>
          <w:sz w:val="22"/>
          <w:szCs w:val="22"/>
        </w:rPr>
        <w:t>L</w:t>
      </w:r>
      <w:r w:rsidRPr="00CB5135">
        <w:rPr>
          <w:b/>
          <w:sz w:val="22"/>
          <w:szCs w:val="22"/>
        </w:rPr>
        <w:t xml:space="preserve">a forêt ancienne </w:t>
      </w:r>
      <w:proofErr w:type="spellStart"/>
      <w:r w:rsidRPr="00CB5135">
        <w:rPr>
          <w:b/>
          <w:sz w:val="22"/>
          <w:szCs w:val="22"/>
        </w:rPr>
        <w:t>subnaturelle</w:t>
      </w:r>
      <w:proofErr w:type="spellEnd"/>
      <w:r w:rsidRPr="00CB5135">
        <w:rPr>
          <w:b/>
          <w:sz w:val="22"/>
          <w:szCs w:val="22"/>
        </w:rPr>
        <w:t xml:space="preserve"> couvre une superficie de </w:t>
      </w:r>
      <w:r w:rsidR="00FC17DD">
        <w:rPr>
          <w:b/>
          <w:sz w:val="22"/>
          <w:szCs w:val="22"/>
        </w:rPr>
        <w:t xml:space="preserve">737 </w:t>
      </w:r>
      <w:r w:rsidRPr="00CB5135">
        <w:rPr>
          <w:b/>
          <w:sz w:val="22"/>
          <w:szCs w:val="22"/>
        </w:rPr>
        <w:t xml:space="preserve">ha, soit </w:t>
      </w:r>
      <w:r w:rsidR="00FC17DD">
        <w:rPr>
          <w:b/>
          <w:sz w:val="22"/>
          <w:szCs w:val="22"/>
        </w:rPr>
        <w:t>41</w:t>
      </w:r>
      <w:r w:rsidRPr="00CB5135">
        <w:rPr>
          <w:b/>
          <w:sz w:val="22"/>
          <w:szCs w:val="22"/>
        </w:rPr>
        <w:t xml:space="preserve">% </w:t>
      </w:r>
      <w:r w:rsidRPr="00CB5135">
        <w:rPr>
          <w:sz w:val="22"/>
          <w:szCs w:val="22"/>
        </w:rPr>
        <w:t>de l’Unité d’Aménagement (</w:t>
      </w:r>
      <w:r w:rsidR="00FC17DD">
        <w:rPr>
          <w:sz w:val="22"/>
          <w:szCs w:val="22"/>
        </w:rPr>
        <w:t>75</w:t>
      </w:r>
      <w:r w:rsidRPr="00CB5135">
        <w:rPr>
          <w:sz w:val="22"/>
          <w:szCs w:val="22"/>
        </w:rPr>
        <w:t>% des peuplements feuillus)</w:t>
      </w:r>
      <w:r>
        <w:rPr>
          <w:sz w:val="22"/>
          <w:szCs w:val="22"/>
        </w:rPr>
        <w:t>.</w:t>
      </w:r>
    </w:p>
    <w:p w:rsidR="00CB5135" w:rsidRDefault="00CB5135">
      <w:pPr>
        <w:spacing w:after="120"/>
        <w:jc w:val="both"/>
        <w:rPr>
          <w:sz w:val="22"/>
        </w:rPr>
      </w:pPr>
    </w:p>
    <w:p w:rsidR="00EA7333" w:rsidRPr="00FC17DD" w:rsidRDefault="00214E9C">
      <w:pPr>
        <w:spacing w:after="120"/>
        <w:jc w:val="both"/>
        <w:rPr>
          <w:sz w:val="22"/>
          <w:szCs w:val="22"/>
        </w:rPr>
      </w:pPr>
      <w:r w:rsidRPr="00097339">
        <w:rPr>
          <w:sz w:val="22"/>
          <w:szCs w:val="22"/>
        </w:rPr>
        <w:t xml:space="preserve">Sur base des données reprises dans le parcellaire </w:t>
      </w:r>
      <w:proofErr w:type="spellStart"/>
      <w:r w:rsidRPr="00097339">
        <w:rPr>
          <w:sz w:val="22"/>
          <w:szCs w:val="22"/>
        </w:rPr>
        <w:t>Efor</w:t>
      </w:r>
      <w:proofErr w:type="spellEnd"/>
      <w:r w:rsidRPr="00097339">
        <w:rPr>
          <w:sz w:val="22"/>
          <w:szCs w:val="22"/>
        </w:rPr>
        <w:t xml:space="preserve">, la surface occupée par des peuplements </w:t>
      </w:r>
      <w:r>
        <w:rPr>
          <w:sz w:val="22"/>
          <w:szCs w:val="22"/>
        </w:rPr>
        <w:t>feuillus</w:t>
      </w:r>
      <w:r w:rsidRPr="00097339">
        <w:rPr>
          <w:sz w:val="22"/>
          <w:szCs w:val="22"/>
        </w:rPr>
        <w:t xml:space="preserve"> (G</w:t>
      </w:r>
      <w:r>
        <w:rPr>
          <w:sz w:val="22"/>
          <w:szCs w:val="22"/>
        </w:rPr>
        <w:t>1</w:t>
      </w:r>
      <w:r w:rsidRPr="00097339">
        <w:rPr>
          <w:sz w:val="22"/>
          <w:szCs w:val="22"/>
        </w:rPr>
        <w:t xml:space="preserve">) est de </w:t>
      </w:r>
      <w:r w:rsidR="00FC17DD" w:rsidRPr="00FC17DD">
        <w:rPr>
          <w:b/>
          <w:sz w:val="22"/>
          <w:szCs w:val="22"/>
        </w:rPr>
        <w:t>980,91</w:t>
      </w:r>
      <w:r w:rsidRPr="0052225F">
        <w:rPr>
          <w:b/>
          <w:sz w:val="22"/>
          <w:szCs w:val="22"/>
        </w:rPr>
        <w:t xml:space="preserve"> ha</w:t>
      </w:r>
      <w:r w:rsidRPr="00097339">
        <w:rPr>
          <w:sz w:val="22"/>
          <w:szCs w:val="22"/>
        </w:rPr>
        <w:t>.</w:t>
      </w:r>
      <w:r w:rsidR="00421FBD">
        <w:rPr>
          <w:sz w:val="22"/>
          <w:szCs w:val="22"/>
        </w:rPr>
        <w:t xml:space="preserve"> </w:t>
      </w:r>
    </w:p>
    <w:p w:rsidR="00421FBD" w:rsidRDefault="00421FBD">
      <w:pPr>
        <w:spacing w:after="120"/>
        <w:jc w:val="both"/>
        <w:rPr>
          <w:sz w:val="22"/>
        </w:rPr>
      </w:pPr>
      <w:r>
        <w:rPr>
          <w:sz w:val="22"/>
        </w:rPr>
        <w:t>Le hêtre est l’essence la plus présente au sein de</w:t>
      </w:r>
      <w:r w:rsidR="00FC17DD">
        <w:rPr>
          <w:sz w:val="22"/>
        </w:rPr>
        <w:t>s futaies feuillues</w:t>
      </w:r>
      <w:r>
        <w:rPr>
          <w:sz w:val="22"/>
        </w:rPr>
        <w:t xml:space="preserve"> (</w:t>
      </w:r>
      <w:r w:rsidR="00FC17DD">
        <w:rPr>
          <w:sz w:val="22"/>
        </w:rPr>
        <w:t>57</w:t>
      </w:r>
      <w:r>
        <w:rPr>
          <w:sz w:val="22"/>
        </w:rPr>
        <w:t>%), suivie des chênes indigènes (</w:t>
      </w:r>
      <w:r w:rsidR="00FC17DD">
        <w:rPr>
          <w:sz w:val="22"/>
        </w:rPr>
        <w:t>30</w:t>
      </w:r>
      <w:r>
        <w:rPr>
          <w:sz w:val="22"/>
        </w:rPr>
        <w:t>%).</w:t>
      </w:r>
    </w:p>
    <w:p w:rsidR="00421FBD" w:rsidRDefault="000E1C6C" w:rsidP="00421FBD">
      <w:pPr>
        <w:spacing w:after="120"/>
        <w:jc w:val="center"/>
        <w:rPr>
          <w:sz w:val="22"/>
        </w:rPr>
      </w:pPr>
      <w:r w:rsidRPr="000E1C6C">
        <w:rPr>
          <w:noProof/>
        </w:rPr>
        <w:drawing>
          <wp:inline distT="0" distB="0" distL="0" distR="0">
            <wp:extent cx="3467100" cy="2070401"/>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4748" cy="2080940"/>
                    </a:xfrm>
                    <a:prstGeom prst="rect">
                      <a:avLst/>
                    </a:prstGeom>
                    <a:noFill/>
                    <a:ln>
                      <a:noFill/>
                    </a:ln>
                  </pic:spPr>
                </pic:pic>
              </a:graphicData>
            </a:graphic>
          </wp:inline>
        </w:drawing>
      </w:r>
    </w:p>
    <w:p w:rsidR="00097339" w:rsidRDefault="0052225F">
      <w:pPr>
        <w:spacing w:after="120"/>
        <w:jc w:val="both"/>
        <w:rPr>
          <w:sz w:val="22"/>
          <w:szCs w:val="22"/>
        </w:rPr>
      </w:pPr>
      <w:r>
        <w:rPr>
          <w:sz w:val="22"/>
          <w:szCs w:val="22"/>
        </w:rPr>
        <w:lastRenderedPageBreak/>
        <w:t>L</w:t>
      </w:r>
      <w:r w:rsidR="00097339" w:rsidRPr="00097339">
        <w:rPr>
          <w:sz w:val="22"/>
          <w:szCs w:val="22"/>
        </w:rPr>
        <w:t xml:space="preserve">a surface occupée par des peuplements résineux (G3) est de </w:t>
      </w:r>
      <w:r w:rsidR="00594CC8">
        <w:rPr>
          <w:b/>
          <w:sz w:val="22"/>
          <w:szCs w:val="22"/>
        </w:rPr>
        <w:t>798,</w:t>
      </w:r>
      <w:r w:rsidR="00594CC8" w:rsidRPr="00594CC8">
        <w:rPr>
          <w:b/>
          <w:sz w:val="22"/>
          <w:szCs w:val="22"/>
        </w:rPr>
        <w:t>16</w:t>
      </w:r>
      <w:r w:rsidR="00097339" w:rsidRPr="00594CC8">
        <w:rPr>
          <w:b/>
          <w:sz w:val="22"/>
          <w:szCs w:val="22"/>
        </w:rPr>
        <w:t xml:space="preserve"> ha</w:t>
      </w:r>
      <w:r w:rsidR="00097339" w:rsidRPr="00097339">
        <w:rPr>
          <w:sz w:val="22"/>
          <w:szCs w:val="22"/>
        </w:rPr>
        <w:t xml:space="preserve">. </w:t>
      </w:r>
      <w:r w:rsidR="00421FBD">
        <w:rPr>
          <w:sz w:val="22"/>
          <w:szCs w:val="22"/>
        </w:rPr>
        <w:t>Les peuplements d’épicéas sont les plus représentés (4</w:t>
      </w:r>
      <w:r w:rsidR="00594CC8">
        <w:rPr>
          <w:sz w:val="22"/>
          <w:szCs w:val="22"/>
        </w:rPr>
        <w:t>6</w:t>
      </w:r>
      <w:r w:rsidR="00421FBD">
        <w:rPr>
          <w:sz w:val="22"/>
          <w:szCs w:val="22"/>
        </w:rPr>
        <w:t>%) suivis des mélanges épicéas/Douglas</w:t>
      </w:r>
      <w:r w:rsidR="00594CC8">
        <w:rPr>
          <w:sz w:val="22"/>
          <w:szCs w:val="22"/>
        </w:rPr>
        <w:t xml:space="preserve"> (35%) et des plantations de Douglas (9%) et de mélèze (7%)</w:t>
      </w:r>
      <w:r w:rsidR="00421FBD">
        <w:rPr>
          <w:sz w:val="22"/>
          <w:szCs w:val="22"/>
        </w:rPr>
        <w:t>.</w:t>
      </w:r>
    </w:p>
    <w:p w:rsidR="00421FBD" w:rsidRDefault="00421FBD">
      <w:pPr>
        <w:spacing w:after="120"/>
        <w:jc w:val="both"/>
        <w:rPr>
          <w:sz w:val="22"/>
          <w:szCs w:val="22"/>
        </w:rPr>
      </w:pPr>
    </w:p>
    <w:p w:rsidR="00097339" w:rsidRPr="00097339" w:rsidRDefault="00594CC8" w:rsidP="00097339">
      <w:pPr>
        <w:spacing w:after="120"/>
        <w:jc w:val="center"/>
        <w:rPr>
          <w:sz w:val="22"/>
          <w:szCs w:val="22"/>
        </w:rPr>
      </w:pPr>
      <w:r w:rsidRPr="00594CC8">
        <w:rPr>
          <w:noProof/>
        </w:rPr>
        <w:drawing>
          <wp:inline distT="0" distB="0" distL="0" distR="0">
            <wp:extent cx="3581400" cy="2142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256" cy="2148145"/>
                    </a:xfrm>
                    <a:prstGeom prst="rect">
                      <a:avLst/>
                    </a:prstGeom>
                    <a:noFill/>
                    <a:ln>
                      <a:noFill/>
                    </a:ln>
                  </pic:spPr>
                </pic:pic>
              </a:graphicData>
            </a:graphic>
          </wp:inline>
        </w:drawing>
      </w:r>
    </w:p>
    <w:p w:rsidR="00421FBD" w:rsidRDefault="00421FBD">
      <w:pPr>
        <w:spacing w:after="120"/>
        <w:jc w:val="both"/>
        <w:rPr>
          <w:sz w:val="22"/>
        </w:rPr>
      </w:pPr>
      <w:r>
        <w:rPr>
          <w:sz w:val="22"/>
        </w:rPr>
        <w:t xml:space="preserve">Au niveau de la répartition des essences, c’est donc logiquement l’épicéa </w:t>
      </w:r>
      <w:r w:rsidR="003C028E">
        <w:rPr>
          <w:sz w:val="22"/>
        </w:rPr>
        <w:t xml:space="preserve">qui est </w:t>
      </w:r>
      <w:r>
        <w:rPr>
          <w:sz w:val="22"/>
        </w:rPr>
        <w:t>le plus présent suivi du Douglas.</w:t>
      </w:r>
    </w:p>
    <w:p w:rsidR="00421FBD" w:rsidRDefault="00594CC8" w:rsidP="00421FBD">
      <w:pPr>
        <w:spacing w:after="120"/>
        <w:jc w:val="center"/>
        <w:rPr>
          <w:sz w:val="22"/>
        </w:rPr>
      </w:pPr>
      <w:r w:rsidRPr="00594CC8">
        <w:rPr>
          <w:noProof/>
        </w:rPr>
        <w:drawing>
          <wp:inline distT="0" distB="0" distL="0" distR="0">
            <wp:extent cx="3552825" cy="2128728"/>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5983" cy="2136612"/>
                    </a:xfrm>
                    <a:prstGeom prst="rect">
                      <a:avLst/>
                    </a:prstGeom>
                    <a:noFill/>
                    <a:ln>
                      <a:noFill/>
                    </a:ln>
                  </pic:spPr>
                </pic:pic>
              </a:graphicData>
            </a:graphic>
          </wp:inline>
        </w:drawing>
      </w:r>
    </w:p>
    <w:p w:rsidR="00B775B6" w:rsidRDefault="003C028E">
      <w:pPr>
        <w:spacing w:after="120"/>
        <w:jc w:val="both"/>
        <w:rPr>
          <w:sz w:val="22"/>
        </w:rPr>
      </w:pPr>
      <w:r>
        <w:rPr>
          <w:sz w:val="22"/>
        </w:rPr>
        <w:t>La r</w:t>
      </w:r>
      <w:r w:rsidR="00B775B6">
        <w:rPr>
          <w:sz w:val="22"/>
        </w:rPr>
        <w:t>épartition par classe</w:t>
      </w:r>
      <w:r>
        <w:rPr>
          <w:sz w:val="22"/>
        </w:rPr>
        <w:t>s</w:t>
      </w:r>
      <w:r w:rsidR="00B775B6">
        <w:rPr>
          <w:sz w:val="22"/>
        </w:rPr>
        <w:t xml:space="preserve"> d’âge </w:t>
      </w:r>
      <w:r w:rsidR="007F4971">
        <w:rPr>
          <w:sz w:val="22"/>
        </w:rPr>
        <w:t>des peuplements résineux</w:t>
      </w:r>
      <w:r>
        <w:rPr>
          <w:sz w:val="22"/>
        </w:rPr>
        <w:t xml:space="preserve"> est la suivante</w:t>
      </w:r>
      <w:r w:rsidR="007F4971">
        <w:rPr>
          <w:sz w:val="22"/>
        </w:rPr>
        <w:t> :</w:t>
      </w:r>
    </w:p>
    <w:p w:rsidR="00CF6FCF" w:rsidRDefault="00594CC8" w:rsidP="00421FBD">
      <w:pPr>
        <w:spacing w:after="120"/>
        <w:jc w:val="center"/>
        <w:rPr>
          <w:sz w:val="22"/>
        </w:rPr>
      </w:pPr>
      <w:r w:rsidRPr="00594CC8">
        <w:rPr>
          <w:noProof/>
        </w:rPr>
        <w:drawing>
          <wp:inline distT="0" distB="0" distL="0" distR="0">
            <wp:extent cx="5753100" cy="22479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247900"/>
                    </a:xfrm>
                    <a:prstGeom prst="rect">
                      <a:avLst/>
                    </a:prstGeom>
                    <a:noFill/>
                    <a:ln>
                      <a:noFill/>
                    </a:ln>
                  </pic:spPr>
                </pic:pic>
              </a:graphicData>
            </a:graphic>
          </wp:inline>
        </w:drawing>
      </w:r>
    </w:p>
    <w:p w:rsidR="00B775B6" w:rsidRDefault="00B775B6">
      <w:pPr>
        <w:spacing w:after="120"/>
        <w:jc w:val="both"/>
        <w:rPr>
          <w:sz w:val="22"/>
        </w:rPr>
      </w:pPr>
    </w:p>
    <w:p w:rsidR="004410FA" w:rsidRPr="004410FA" w:rsidRDefault="00EA366E">
      <w:pPr>
        <w:spacing w:after="120"/>
        <w:jc w:val="both"/>
        <w:rPr>
          <w:sz w:val="22"/>
          <w:szCs w:val="22"/>
        </w:rPr>
      </w:pPr>
      <w:r>
        <w:rPr>
          <w:sz w:val="22"/>
          <w:szCs w:val="22"/>
        </w:rPr>
        <w:t xml:space="preserve">Les espaces non forestiers concernent </w:t>
      </w:r>
      <w:r w:rsidR="00594CC8">
        <w:rPr>
          <w:sz w:val="22"/>
          <w:szCs w:val="22"/>
        </w:rPr>
        <w:t>0,7</w:t>
      </w:r>
      <w:r>
        <w:rPr>
          <w:sz w:val="22"/>
          <w:szCs w:val="22"/>
        </w:rPr>
        <w:t>% de l’UA (</w:t>
      </w:r>
      <w:r w:rsidR="00594CC8">
        <w:rPr>
          <w:sz w:val="22"/>
          <w:szCs w:val="22"/>
        </w:rPr>
        <w:t>13,12</w:t>
      </w:r>
      <w:r>
        <w:rPr>
          <w:sz w:val="22"/>
          <w:szCs w:val="22"/>
        </w:rPr>
        <w:t xml:space="preserve"> ha).</w:t>
      </w:r>
    </w:p>
    <w:p w:rsidR="009C0D92" w:rsidRDefault="009C0D92">
      <w:pPr>
        <w:spacing w:after="120"/>
        <w:jc w:val="both"/>
        <w:rPr>
          <w:color w:val="000000"/>
          <w:sz w:val="22"/>
        </w:rPr>
      </w:pPr>
      <w:r>
        <w:rPr>
          <w:sz w:val="22"/>
        </w:rPr>
        <w:lastRenderedPageBreak/>
        <w:t xml:space="preserve">En ce qui concerne </w:t>
      </w:r>
      <w:r>
        <w:rPr>
          <w:b/>
          <w:sz w:val="22"/>
          <w:u w:val="single"/>
        </w:rPr>
        <w:t>la voirie</w:t>
      </w:r>
      <w:r>
        <w:rPr>
          <w:sz w:val="22"/>
        </w:rPr>
        <w:t xml:space="preserve">, la densité actuelle des chemins accessibles aux grumiers est estimée à </w:t>
      </w:r>
      <w:r w:rsidR="00594CC8">
        <w:rPr>
          <w:b/>
          <w:sz w:val="22"/>
          <w:u w:val="single"/>
        </w:rPr>
        <w:t>18,7</w:t>
      </w:r>
      <w:r>
        <w:rPr>
          <w:b/>
          <w:sz w:val="22"/>
          <w:u w:val="single"/>
        </w:rPr>
        <w:t xml:space="preserve"> m par hectare</w:t>
      </w:r>
      <w:r>
        <w:rPr>
          <w:sz w:val="22"/>
        </w:rPr>
        <w:t xml:space="preserve">, ce qui </w:t>
      </w:r>
      <w:r w:rsidR="00C37CA9">
        <w:rPr>
          <w:sz w:val="22"/>
        </w:rPr>
        <w:t>est</w:t>
      </w:r>
      <w:r>
        <w:rPr>
          <w:sz w:val="22"/>
        </w:rPr>
        <w:t xml:space="preserve"> </w:t>
      </w:r>
      <w:r w:rsidR="00594CC8">
        <w:rPr>
          <w:sz w:val="22"/>
        </w:rPr>
        <w:t>inférieur</w:t>
      </w:r>
      <w:r>
        <w:rPr>
          <w:sz w:val="22"/>
        </w:rPr>
        <w:t xml:space="preserve"> par rapport à la densité idéale</w:t>
      </w:r>
      <w:r w:rsidR="00EA366E">
        <w:rPr>
          <w:sz w:val="22"/>
        </w:rPr>
        <w:t xml:space="preserve"> (25 m/ha)</w:t>
      </w:r>
      <w:r>
        <w:rPr>
          <w:sz w:val="22"/>
        </w:rPr>
        <w:t>.</w:t>
      </w:r>
      <w:r w:rsidR="00594CC8">
        <w:rPr>
          <w:sz w:val="22"/>
        </w:rPr>
        <w:t xml:space="preserve"> Néanmoins, le réseau actuel est régulièrement réparti et semble suffisant.</w:t>
      </w:r>
      <w:r>
        <w:rPr>
          <w:sz w:val="22"/>
        </w:rPr>
        <w:t xml:space="preserve"> </w:t>
      </w:r>
      <w:r w:rsidR="00594CC8" w:rsidRPr="00594CC8">
        <w:rPr>
          <w:b/>
          <w:sz w:val="22"/>
        </w:rPr>
        <w:t>2</w:t>
      </w:r>
      <w:r w:rsidR="00EA366E" w:rsidRPr="00594CC8">
        <w:rPr>
          <w:b/>
          <w:sz w:val="22"/>
        </w:rPr>
        <w:t>4</w:t>
      </w:r>
      <w:r w:rsidR="00C37CA9" w:rsidRPr="00EA366E">
        <w:rPr>
          <w:b/>
          <w:sz w:val="22"/>
          <w:u w:val="single"/>
        </w:rPr>
        <w:t xml:space="preserve"> </w:t>
      </w:r>
      <w:r w:rsidR="00C37CA9" w:rsidRPr="00C37CA9">
        <w:rPr>
          <w:b/>
          <w:sz w:val="22"/>
          <w:u w:val="single"/>
        </w:rPr>
        <w:t>quais de chargement</w:t>
      </w:r>
      <w:r w:rsidR="00C37CA9">
        <w:rPr>
          <w:sz w:val="22"/>
        </w:rPr>
        <w:t xml:space="preserve"> sont présents au sein de l’UA. </w:t>
      </w:r>
      <w:r>
        <w:rPr>
          <w:sz w:val="22"/>
        </w:rPr>
        <w:t xml:space="preserve">Il n’y a donc actuellement aucun </w:t>
      </w:r>
      <w:r w:rsidR="00CC4AC3">
        <w:rPr>
          <w:sz w:val="22"/>
        </w:rPr>
        <w:t xml:space="preserve">grand </w:t>
      </w:r>
      <w:r>
        <w:rPr>
          <w:sz w:val="22"/>
        </w:rPr>
        <w:t xml:space="preserve">projet de création de voirie. Les principales opérations à ce niveau </w:t>
      </w:r>
      <w:r>
        <w:rPr>
          <w:color w:val="000000"/>
          <w:sz w:val="22"/>
        </w:rPr>
        <w:t xml:space="preserve">concerneront l’entretien </w:t>
      </w:r>
      <w:r w:rsidR="00CC4AC3">
        <w:rPr>
          <w:color w:val="000000"/>
          <w:sz w:val="22"/>
        </w:rPr>
        <w:t>et l’amélioration</w:t>
      </w:r>
      <w:r>
        <w:rPr>
          <w:color w:val="000000"/>
          <w:sz w:val="22"/>
        </w:rPr>
        <w:t>.</w:t>
      </w:r>
    </w:p>
    <w:p w:rsidR="00594CC8" w:rsidRDefault="009C0D92">
      <w:pPr>
        <w:spacing w:after="120"/>
        <w:jc w:val="both"/>
        <w:rPr>
          <w:sz w:val="22"/>
        </w:rPr>
      </w:pPr>
      <w:r>
        <w:rPr>
          <w:sz w:val="22"/>
        </w:rPr>
        <w:t xml:space="preserve">Au niveau touristique, la forêt communale de </w:t>
      </w:r>
      <w:r w:rsidR="00594CC8">
        <w:rPr>
          <w:sz w:val="22"/>
        </w:rPr>
        <w:t>Neufchâteau</w:t>
      </w:r>
      <w:r>
        <w:rPr>
          <w:sz w:val="22"/>
        </w:rPr>
        <w:t xml:space="preserve"> est traversée par </w:t>
      </w:r>
      <w:r w:rsidR="00594CC8">
        <w:rPr>
          <w:sz w:val="22"/>
        </w:rPr>
        <w:t>un réseau de chemins permettant aussi bien des petites ballades que des randonnées à pied, à cheval ou en VTT. D’une manière générale, bien qu’attrayante et variée, la forêt de Neufchâteau ne déborde pas d’usagers la fréquentant. Elle garde donc une quiétude importante.</w:t>
      </w:r>
    </w:p>
    <w:p w:rsidR="009C0D92" w:rsidRPr="00EA366E" w:rsidRDefault="009C0D92">
      <w:pPr>
        <w:spacing w:after="120"/>
        <w:jc w:val="both"/>
        <w:rPr>
          <w:sz w:val="22"/>
          <w:szCs w:val="22"/>
        </w:rPr>
      </w:pPr>
      <w:r w:rsidRPr="00EA366E">
        <w:rPr>
          <w:sz w:val="22"/>
          <w:szCs w:val="22"/>
        </w:rPr>
        <w:t xml:space="preserve">Par ailleurs, </w:t>
      </w:r>
      <w:r w:rsidR="00594CC8">
        <w:rPr>
          <w:b/>
          <w:sz w:val="22"/>
          <w:szCs w:val="22"/>
        </w:rPr>
        <w:t>5</w:t>
      </w:r>
      <w:r w:rsidR="00EA366E" w:rsidRPr="00EA366E">
        <w:rPr>
          <w:sz w:val="22"/>
          <w:szCs w:val="22"/>
        </w:rPr>
        <w:t xml:space="preserve"> </w:t>
      </w:r>
      <w:r w:rsidR="00C37CA9" w:rsidRPr="00EA366E">
        <w:rPr>
          <w:sz w:val="22"/>
          <w:szCs w:val="22"/>
        </w:rPr>
        <w:t>zones accessibles aux mouvements de jeunesse</w:t>
      </w:r>
      <w:r w:rsidRPr="00EA366E">
        <w:rPr>
          <w:sz w:val="22"/>
          <w:szCs w:val="22"/>
        </w:rPr>
        <w:t xml:space="preserve"> ont été </w:t>
      </w:r>
      <w:r w:rsidR="00ED7F30" w:rsidRPr="00EA366E">
        <w:rPr>
          <w:sz w:val="22"/>
          <w:szCs w:val="22"/>
        </w:rPr>
        <w:t>délimitées</w:t>
      </w:r>
      <w:r w:rsidRPr="00EA366E">
        <w:rPr>
          <w:sz w:val="22"/>
          <w:szCs w:val="22"/>
        </w:rPr>
        <w:t>.</w:t>
      </w:r>
    </w:p>
    <w:p w:rsidR="00F92E3D" w:rsidRDefault="00F92E3D">
      <w:pPr>
        <w:spacing w:after="120"/>
        <w:jc w:val="both"/>
        <w:rPr>
          <w:sz w:val="22"/>
        </w:rPr>
      </w:pPr>
    </w:p>
    <w:p w:rsidR="009C0D92" w:rsidRDefault="00AD5711" w:rsidP="00AD5711">
      <w:pPr>
        <w:pBdr>
          <w:top w:val="single" w:sz="4" w:space="1" w:color="auto"/>
          <w:left w:val="single" w:sz="4" w:space="4" w:color="auto"/>
          <w:bottom w:val="single" w:sz="4" w:space="1" w:color="auto"/>
          <w:right w:val="single" w:sz="4" w:space="4" w:color="auto"/>
        </w:pBdr>
        <w:spacing w:after="120"/>
        <w:jc w:val="both"/>
        <w:rPr>
          <w:rFonts w:ascii="Arial" w:hAnsi="Arial"/>
          <w:b/>
          <w:i/>
          <w:sz w:val="24"/>
        </w:rPr>
      </w:pPr>
      <w:r>
        <w:rPr>
          <w:rFonts w:ascii="Arial" w:hAnsi="Arial"/>
          <w:b/>
          <w:i/>
          <w:sz w:val="24"/>
        </w:rPr>
        <w:t>P</w:t>
      </w:r>
      <w:r w:rsidR="009C0D92">
        <w:rPr>
          <w:rFonts w:ascii="Arial" w:hAnsi="Arial"/>
          <w:b/>
          <w:i/>
          <w:sz w:val="24"/>
        </w:rPr>
        <w:t xml:space="preserve">our </w:t>
      </w:r>
      <w:r w:rsidR="00097339">
        <w:rPr>
          <w:rFonts w:ascii="Arial" w:hAnsi="Arial"/>
          <w:b/>
          <w:i/>
          <w:sz w:val="24"/>
        </w:rPr>
        <w:t>en savoir plus : chapitre 1</w:t>
      </w:r>
      <w:r w:rsidR="009C0D92">
        <w:rPr>
          <w:rFonts w:ascii="Arial" w:hAnsi="Arial"/>
          <w:b/>
          <w:i/>
          <w:sz w:val="24"/>
        </w:rPr>
        <w:t xml:space="preserve"> du plan d’aménagement.</w:t>
      </w:r>
    </w:p>
    <w:p w:rsidR="009C0D92" w:rsidRDefault="009C0D92">
      <w:pPr>
        <w:pStyle w:val="Titre1"/>
        <w:spacing w:after="120"/>
      </w:pPr>
      <w:r>
        <w:t>2. Analyse des contraintes</w:t>
      </w:r>
    </w:p>
    <w:p w:rsidR="009C0D92" w:rsidRDefault="009C0D92">
      <w:pPr>
        <w:spacing w:after="120"/>
        <w:jc w:val="both"/>
        <w:rPr>
          <w:sz w:val="22"/>
        </w:rPr>
      </w:pPr>
      <w:r>
        <w:rPr>
          <w:b/>
          <w:sz w:val="22"/>
          <w:u w:val="single"/>
        </w:rPr>
        <w:t>Plusieurs contraintes</w:t>
      </w:r>
      <w:r>
        <w:rPr>
          <w:sz w:val="22"/>
        </w:rPr>
        <w:t xml:space="preserve"> ont été répert</w:t>
      </w:r>
      <w:r w:rsidR="00A7774E">
        <w:rPr>
          <w:sz w:val="22"/>
        </w:rPr>
        <w:t>oriées lors de l’analyse de la F</w:t>
      </w:r>
      <w:r>
        <w:rPr>
          <w:sz w:val="22"/>
        </w:rPr>
        <w:t xml:space="preserve">orêt </w:t>
      </w:r>
      <w:r w:rsidR="00A7774E">
        <w:rPr>
          <w:sz w:val="22"/>
        </w:rPr>
        <w:t>C</w:t>
      </w:r>
      <w:r>
        <w:rPr>
          <w:sz w:val="22"/>
        </w:rPr>
        <w:t xml:space="preserve">ommunale de </w:t>
      </w:r>
      <w:r w:rsidR="002812B3">
        <w:rPr>
          <w:sz w:val="22"/>
        </w:rPr>
        <w:t>Neufchâteau</w:t>
      </w:r>
      <w:r>
        <w:rPr>
          <w:sz w:val="22"/>
        </w:rPr>
        <w:t> :</w:t>
      </w:r>
    </w:p>
    <w:p w:rsidR="003E02D2" w:rsidRDefault="003E02D2" w:rsidP="003E02D2">
      <w:pPr>
        <w:numPr>
          <w:ilvl w:val="0"/>
          <w:numId w:val="2"/>
        </w:numPr>
        <w:spacing w:after="120"/>
        <w:jc w:val="both"/>
        <w:rPr>
          <w:sz w:val="22"/>
        </w:rPr>
      </w:pPr>
      <w:r>
        <w:rPr>
          <w:sz w:val="22"/>
        </w:rPr>
        <w:t>le Code forestier est d’application dans les bois communaux. Il réglemente notamment la circulation en forêt, les exploitations et les travaux afin d’assurer le développement durable des bois et forêts ;</w:t>
      </w:r>
    </w:p>
    <w:p w:rsidR="003E02D2" w:rsidRDefault="003E02D2" w:rsidP="003E02D2">
      <w:pPr>
        <w:numPr>
          <w:ilvl w:val="0"/>
          <w:numId w:val="2"/>
        </w:numPr>
        <w:spacing w:after="120"/>
        <w:jc w:val="both"/>
        <w:rPr>
          <w:sz w:val="22"/>
        </w:rPr>
      </w:pPr>
      <w:proofErr w:type="gramStart"/>
      <w:r>
        <w:rPr>
          <w:sz w:val="22"/>
        </w:rPr>
        <w:t>les</w:t>
      </w:r>
      <w:proofErr w:type="gramEnd"/>
      <w:r>
        <w:rPr>
          <w:sz w:val="22"/>
        </w:rPr>
        <w:t xml:space="preserve"> contraintes patrimoniales concernent les réserves intégrales (</w:t>
      </w:r>
      <w:r w:rsidR="00D223C0">
        <w:rPr>
          <w:sz w:val="22"/>
        </w:rPr>
        <w:t>31,36</w:t>
      </w:r>
      <w:r>
        <w:rPr>
          <w:sz w:val="22"/>
        </w:rPr>
        <w:t xml:space="preserve"> ha, soit </w:t>
      </w:r>
      <w:r w:rsidR="00D223C0">
        <w:rPr>
          <w:sz w:val="22"/>
        </w:rPr>
        <w:t>3,2</w:t>
      </w:r>
      <w:r>
        <w:rPr>
          <w:sz w:val="22"/>
        </w:rPr>
        <w:t>% de la superficie forestière feuillue de la propriété), la protection de l’eau (</w:t>
      </w:r>
      <w:r w:rsidR="00D223C0">
        <w:rPr>
          <w:sz w:val="22"/>
        </w:rPr>
        <w:t>95,1</w:t>
      </w:r>
      <w:r w:rsidR="00051765">
        <w:rPr>
          <w:sz w:val="22"/>
        </w:rPr>
        <w:t xml:space="preserve"> </w:t>
      </w:r>
      <w:r>
        <w:rPr>
          <w:sz w:val="22"/>
        </w:rPr>
        <w:t>ha), la protection des sols de pente (</w:t>
      </w:r>
      <w:r w:rsidR="00D223C0">
        <w:rPr>
          <w:sz w:val="22"/>
        </w:rPr>
        <w:t>67,3</w:t>
      </w:r>
      <w:r>
        <w:rPr>
          <w:sz w:val="22"/>
        </w:rPr>
        <w:t xml:space="preserve"> ha), la protection des sols hydromorphes et des sols tourbeux (</w:t>
      </w:r>
      <w:r w:rsidR="00D223C0">
        <w:rPr>
          <w:sz w:val="22"/>
        </w:rPr>
        <w:t>72,5</w:t>
      </w:r>
      <w:r w:rsidR="002105A6">
        <w:rPr>
          <w:sz w:val="22"/>
        </w:rPr>
        <w:t xml:space="preserve"> ha</w:t>
      </w:r>
      <w:r>
        <w:rPr>
          <w:sz w:val="22"/>
        </w:rPr>
        <w:t>) ;</w:t>
      </w:r>
    </w:p>
    <w:p w:rsidR="00D3720F" w:rsidRDefault="00D3720F">
      <w:pPr>
        <w:numPr>
          <w:ilvl w:val="0"/>
          <w:numId w:val="2"/>
        </w:numPr>
        <w:spacing w:after="120"/>
        <w:jc w:val="both"/>
        <w:rPr>
          <w:sz w:val="22"/>
          <w:szCs w:val="22"/>
        </w:rPr>
      </w:pPr>
      <w:r w:rsidRPr="00D3720F">
        <w:rPr>
          <w:sz w:val="22"/>
          <w:szCs w:val="22"/>
        </w:rPr>
        <w:t>Différentes espèces végétales et animales (mammifères, amphibiens, reptiles, invertébrés et oiseaux) protégées sur base de la loi sur la Conservation de la Nature, dont certaines sont menacées à l’échelle de la Région wallonne, ont été identifiées dans les limites ou à proximité de l’UA</w:t>
      </w:r>
    </w:p>
    <w:p w:rsidR="00D3720F" w:rsidRPr="006612C9" w:rsidRDefault="004C3302" w:rsidP="00D3720F">
      <w:pPr>
        <w:numPr>
          <w:ilvl w:val="0"/>
          <w:numId w:val="2"/>
        </w:numPr>
        <w:spacing w:after="120"/>
        <w:jc w:val="both"/>
        <w:rPr>
          <w:sz w:val="22"/>
          <w:szCs w:val="22"/>
        </w:rPr>
      </w:pPr>
      <w:r>
        <w:rPr>
          <w:sz w:val="22"/>
          <w:szCs w:val="22"/>
        </w:rPr>
        <w:t>457</w:t>
      </w:r>
      <w:r w:rsidR="00D3720F" w:rsidRPr="006612C9">
        <w:rPr>
          <w:sz w:val="22"/>
          <w:szCs w:val="22"/>
        </w:rPr>
        <w:t xml:space="preserve"> ha (+/-</w:t>
      </w:r>
      <w:r>
        <w:rPr>
          <w:sz w:val="22"/>
          <w:szCs w:val="22"/>
        </w:rPr>
        <w:t>25</w:t>
      </w:r>
      <w:r w:rsidR="006612C9" w:rsidRPr="006612C9">
        <w:rPr>
          <w:sz w:val="22"/>
          <w:szCs w:val="22"/>
        </w:rPr>
        <w:t>,5</w:t>
      </w:r>
      <w:r w:rsidR="00D3720F" w:rsidRPr="006612C9">
        <w:rPr>
          <w:sz w:val="22"/>
          <w:szCs w:val="22"/>
        </w:rPr>
        <w:t>% de la propriété) sont situés en zone Natura 2000</w:t>
      </w:r>
      <w:r w:rsidR="006612C9" w:rsidRPr="006612C9">
        <w:rPr>
          <w:sz w:val="22"/>
          <w:szCs w:val="22"/>
        </w:rPr>
        <w:t xml:space="preserve">. Il s’agit </w:t>
      </w:r>
      <w:r>
        <w:rPr>
          <w:sz w:val="22"/>
          <w:szCs w:val="22"/>
        </w:rPr>
        <w:t>du</w:t>
      </w:r>
      <w:r w:rsidR="006612C9" w:rsidRPr="006612C9">
        <w:rPr>
          <w:sz w:val="22"/>
          <w:szCs w:val="22"/>
        </w:rPr>
        <w:t xml:space="preserve"> site BE3404</w:t>
      </w:r>
      <w:r>
        <w:rPr>
          <w:sz w:val="22"/>
          <w:szCs w:val="22"/>
        </w:rPr>
        <w:t>9</w:t>
      </w:r>
      <w:r w:rsidR="006612C9" w:rsidRPr="006612C9">
        <w:rPr>
          <w:sz w:val="22"/>
          <w:szCs w:val="22"/>
        </w:rPr>
        <w:t xml:space="preserve"> - </w:t>
      </w:r>
      <w:r>
        <w:rPr>
          <w:sz w:val="22"/>
          <w:szCs w:val="22"/>
        </w:rPr>
        <w:t>Bass</w:t>
      </w:r>
      <w:r w:rsidR="006612C9" w:rsidRPr="006612C9">
        <w:rPr>
          <w:sz w:val="22"/>
          <w:szCs w:val="22"/>
        </w:rPr>
        <w:t>e-</w:t>
      </w:r>
      <w:proofErr w:type="spellStart"/>
      <w:proofErr w:type="gramStart"/>
      <w:r w:rsidR="006612C9" w:rsidRPr="006612C9">
        <w:rPr>
          <w:sz w:val="22"/>
          <w:szCs w:val="22"/>
        </w:rPr>
        <w:t>Vierre</w:t>
      </w:r>
      <w:proofErr w:type="spellEnd"/>
      <w:r w:rsidR="00D3720F" w:rsidRPr="006612C9">
        <w:rPr>
          <w:sz w:val="22"/>
          <w:szCs w:val="22"/>
        </w:rPr>
        <w:t>;</w:t>
      </w:r>
      <w:proofErr w:type="gramEnd"/>
    </w:p>
    <w:p w:rsidR="009C0D92" w:rsidRDefault="009C0D92">
      <w:pPr>
        <w:numPr>
          <w:ilvl w:val="0"/>
          <w:numId w:val="2"/>
        </w:numPr>
        <w:spacing w:after="120"/>
        <w:jc w:val="both"/>
        <w:rPr>
          <w:sz w:val="22"/>
        </w:rPr>
      </w:pPr>
      <w:proofErr w:type="gramStart"/>
      <w:r>
        <w:rPr>
          <w:sz w:val="22"/>
        </w:rPr>
        <w:t>la</w:t>
      </w:r>
      <w:proofErr w:type="gramEnd"/>
      <w:r>
        <w:rPr>
          <w:sz w:val="22"/>
        </w:rPr>
        <w:t xml:space="preserve"> commune de </w:t>
      </w:r>
      <w:r w:rsidR="004C3302">
        <w:rPr>
          <w:sz w:val="22"/>
        </w:rPr>
        <w:t>Neufchâteau</w:t>
      </w:r>
      <w:r>
        <w:rPr>
          <w:sz w:val="22"/>
        </w:rPr>
        <w:t xml:space="preserve"> a signé la Charte pour la gestion forestière durable en Région wallonne (PEFC). Elle s’engage donc à respecter un certain nombre de règles de gestion.</w:t>
      </w:r>
    </w:p>
    <w:p w:rsidR="009C0D92" w:rsidRDefault="009C0D92">
      <w:pPr>
        <w:spacing w:after="120"/>
        <w:jc w:val="both"/>
        <w:rPr>
          <w:sz w:val="22"/>
        </w:rPr>
      </w:pPr>
      <w:r>
        <w:rPr>
          <w:b/>
          <w:sz w:val="22"/>
          <w:u w:val="single"/>
        </w:rPr>
        <w:t>Le plan d’aménagement tient compte de toutes les contraintes identifiées</w:t>
      </w:r>
      <w:r>
        <w:rPr>
          <w:sz w:val="22"/>
        </w:rPr>
        <w:t>.</w:t>
      </w:r>
    </w:p>
    <w:p w:rsidR="009C0D92" w:rsidRDefault="00AD5711" w:rsidP="00AD5711">
      <w:pPr>
        <w:pBdr>
          <w:top w:val="single" w:sz="4" w:space="1" w:color="auto"/>
          <w:left w:val="single" w:sz="4" w:space="4" w:color="auto"/>
          <w:bottom w:val="single" w:sz="4" w:space="1" w:color="auto"/>
          <w:right w:val="single" w:sz="4" w:space="4" w:color="auto"/>
        </w:pBdr>
        <w:spacing w:after="120"/>
        <w:jc w:val="both"/>
        <w:rPr>
          <w:rFonts w:ascii="Arial" w:hAnsi="Arial"/>
          <w:b/>
          <w:i/>
          <w:sz w:val="24"/>
        </w:rPr>
      </w:pPr>
      <w:r>
        <w:rPr>
          <w:rFonts w:ascii="Arial" w:hAnsi="Arial"/>
          <w:b/>
          <w:i/>
          <w:sz w:val="24"/>
        </w:rPr>
        <w:t>P</w:t>
      </w:r>
      <w:r w:rsidR="009C0D92">
        <w:rPr>
          <w:rFonts w:ascii="Arial" w:hAnsi="Arial"/>
          <w:b/>
          <w:i/>
          <w:sz w:val="24"/>
        </w:rPr>
        <w:t>our en savoir plus : chapitre</w:t>
      </w:r>
      <w:r w:rsidR="0076744D">
        <w:rPr>
          <w:rFonts w:ascii="Arial" w:hAnsi="Arial"/>
          <w:b/>
          <w:i/>
          <w:sz w:val="24"/>
        </w:rPr>
        <w:t>s</w:t>
      </w:r>
      <w:r w:rsidR="009C0D92">
        <w:rPr>
          <w:rFonts w:ascii="Arial" w:hAnsi="Arial"/>
          <w:b/>
          <w:i/>
          <w:sz w:val="24"/>
        </w:rPr>
        <w:t xml:space="preserve"> </w:t>
      </w:r>
      <w:r w:rsidR="00C37CA9">
        <w:rPr>
          <w:rFonts w:ascii="Arial" w:hAnsi="Arial"/>
          <w:b/>
          <w:i/>
          <w:sz w:val="24"/>
        </w:rPr>
        <w:t>1</w:t>
      </w:r>
      <w:r w:rsidR="0076744D">
        <w:rPr>
          <w:rFonts w:ascii="Arial" w:hAnsi="Arial"/>
          <w:b/>
          <w:i/>
          <w:sz w:val="24"/>
        </w:rPr>
        <w:t xml:space="preserve"> et 2</w:t>
      </w:r>
      <w:r w:rsidR="009C0D92">
        <w:rPr>
          <w:rFonts w:ascii="Arial" w:hAnsi="Arial"/>
          <w:b/>
          <w:i/>
          <w:sz w:val="24"/>
        </w:rPr>
        <w:t xml:space="preserve"> du plan d’aménagement.</w:t>
      </w:r>
    </w:p>
    <w:p w:rsidR="009C0D92" w:rsidRDefault="009C0D92">
      <w:pPr>
        <w:pStyle w:val="Titre1"/>
        <w:spacing w:after="120"/>
      </w:pPr>
      <w:r>
        <w:t>3. Grands objectifs de l’aménagement</w:t>
      </w:r>
    </w:p>
    <w:p w:rsidR="009C0D92" w:rsidRDefault="009C0D92">
      <w:pPr>
        <w:pStyle w:val="Corpsdetexte"/>
      </w:pPr>
      <w:r>
        <w:t>Les objectifs de l’aménagement se déclinent selon les différentes fonctions attribuées à la forêt. Il s’agit des fonctions économique, écologique, sociale et cynégétique. Ces fonctions sont liées entre elles et guident la réflexion de l’aménagement forestier.</w:t>
      </w:r>
    </w:p>
    <w:p w:rsidR="009C0D92" w:rsidRDefault="009C0D92">
      <w:pPr>
        <w:pStyle w:val="std"/>
        <w:ind w:left="0"/>
      </w:pPr>
      <w:r>
        <w:t xml:space="preserve">Les principaux objectifs de la </w:t>
      </w:r>
      <w:r>
        <w:rPr>
          <w:b/>
          <w:u w:val="single"/>
        </w:rPr>
        <w:t>fonction économique</w:t>
      </w:r>
      <w:r>
        <w:t xml:space="preserve"> sont : la production de b</w:t>
      </w:r>
      <w:r w:rsidR="0020244A">
        <w:t>ois de qualité au moindre coût,</w:t>
      </w:r>
      <w:r w:rsidR="009026BD">
        <w:t xml:space="preserve"> </w:t>
      </w:r>
      <w:r>
        <w:t xml:space="preserve">l’exploitation durable des peuplements ; la diversification </w:t>
      </w:r>
      <w:r w:rsidR="00555DE7">
        <w:t>des essences, une augmentation de la productivité (remplac</w:t>
      </w:r>
      <w:r w:rsidR="007432BB">
        <w:t>er de l’épicéa par du douglas,</w:t>
      </w:r>
      <w:r w:rsidR="00555DE7">
        <w:t xml:space="preserve"> des mélèzes</w:t>
      </w:r>
      <w:r w:rsidR="007432BB">
        <w:t xml:space="preserve"> et autres résineux</w:t>
      </w:r>
      <w:r w:rsidR="00555DE7">
        <w:t>), une meilleure adéquation des essences aux conditions locales, l</w:t>
      </w:r>
      <w:r w:rsidR="009026BD">
        <w:t xml:space="preserve">a recherche de l’équilibre </w:t>
      </w:r>
      <w:r w:rsidR="009026BD" w:rsidRPr="00EF7DE7">
        <w:t>faune</w:t>
      </w:r>
      <w:r w:rsidR="008E27AB" w:rsidRPr="00EF7DE7">
        <w:t>-flore</w:t>
      </w:r>
      <w:r>
        <w:t>.</w:t>
      </w:r>
    </w:p>
    <w:p w:rsidR="009C0D92" w:rsidRDefault="009C0D92">
      <w:pPr>
        <w:pStyle w:val="Corpsdetexte"/>
      </w:pPr>
      <w:r>
        <w:t xml:space="preserve">En ce qui concerne la </w:t>
      </w:r>
      <w:r>
        <w:rPr>
          <w:b/>
          <w:u w:val="single"/>
        </w:rPr>
        <w:t>fonction écologique</w:t>
      </w:r>
      <w:r>
        <w:t>, on retiendra</w:t>
      </w:r>
      <w:r w:rsidR="00576707">
        <w:t xml:space="preserve"> </w:t>
      </w:r>
      <w:r w:rsidR="001C1074">
        <w:t xml:space="preserve">la restauration et la gestion </w:t>
      </w:r>
      <w:r w:rsidR="009026BD">
        <w:t>des bords de cours d’eau et zones humides</w:t>
      </w:r>
      <w:r w:rsidR="001C1074">
        <w:t>,</w:t>
      </w:r>
      <w:r>
        <w:t xml:space="preserve"> la régénération et la diversification de la </w:t>
      </w:r>
      <w:r w:rsidR="009026BD">
        <w:t>futaie feuillue</w:t>
      </w:r>
      <w:r>
        <w:t> ; l’augmentation de la proportion de bois mort</w:t>
      </w:r>
      <w:r w:rsidR="009026BD">
        <w:t xml:space="preserve"> et d’intérêt biologique</w:t>
      </w:r>
      <w:r>
        <w:t> ; la diversificat</w:t>
      </w:r>
      <w:r w:rsidR="009026BD">
        <w:t xml:space="preserve">ion des peuplements résineux ; </w:t>
      </w:r>
      <w:r w:rsidR="001C1074">
        <w:t>la création et l’entretien de lisières</w:t>
      </w:r>
      <w:r w:rsidR="00576707">
        <w:t> ;</w:t>
      </w:r>
      <w:r w:rsidR="001C1074">
        <w:t xml:space="preserve"> </w:t>
      </w:r>
      <w:r>
        <w:t xml:space="preserve">le suivi </w:t>
      </w:r>
      <w:r w:rsidR="001C1074">
        <w:t xml:space="preserve">sylvicole et </w:t>
      </w:r>
      <w:r>
        <w:t>s</w:t>
      </w:r>
      <w:r w:rsidR="001C1074">
        <w:t>cientifique des mesures prises</w:t>
      </w:r>
      <w:r>
        <w:t>.</w:t>
      </w:r>
    </w:p>
    <w:p w:rsidR="009C0D92" w:rsidRDefault="009C0D92">
      <w:pPr>
        <w:pStyle w:val="std"/>
        <w:ind w:left="0"/>
      </w:pPr>
      <w:r w:rsidRPr="007D12E3">
        <w:t xml:space="preserve">Le développement des </w:t>
      </w:r>
      <w:r w:rsidRPr="007D12E3">
        <w:rPr>
          <w:b/>
          <w:u w:val="single"/>
        </w:rPr>
        <w:t>fonctions sociale, culturelle et récréative</w:t>
      </w:r>
      <w:r w:rsidRPr="007D12E3">
        <w:t xml:space="preserve"> est à mettre en parallèle avec</w:t>
      </w:r>
      <w:r>
        <w:t xml:space="preserve"> l’attirance de plus en plus grande du public vers des loisirs de détente orientés vers la nature. Il est dès lors important de doter la forêt communale de moyens afin de faire en sorte que la présence du public ne soit pas dommageable pour le milieu (faune et flore) et qu’elle puisse être à la base d’un effort de </w:t>
      </w:r>
      <w:r>
        <w:lastRenderedPageBreak/>
        <w:t>sensibilisation et d’information. L’objectif peut donc se résumer en deux mots : canaliser et sensibiliser.</w:t>
      </w:r>
    </w:p>
    <w:p w:rsidR="009C0D92" w:rsidRDefault="00F33002">
      <w:pPr>
        <w:pStyle w:val="std"/>
        <w:ind w:left="0"/>
      </w:pPr>
      <w:r>
        <w:t>L</w:t>
      </w:r>
      <w:r w:rsidR="009C0D92">
        <w:t xml:space="preserve">a </w:t>
      </w:r>
      <w:r w:rsidR="009C0D92">
        <w:rPr>
          <w:b/>
          <w:u w:val="single"/>
        </w:rPr>
        <w:t>fonction cynégétique</w:t>
      </w:r>
      <w:r w:rsidR="009C0D92">
        <w:t xml:space="preserve"> </w:t>
      </w:r>
      <w:r>
        <w:t xml:space="preserve">revêt un caractère interactif : elle interfère nettement avec les trois autres fonctions. Les objectifs de cette fonction consistent à maintenir une activité de chasse durable orientée et concertée vers </w:t>
      </w:r>
      <w:r w:rsidR="009026BD">
        <w:t xml:space="preserve">les </w:t>
      </w:r>
      <w:r w:rsidR="00576707">
        <w:t>trois</w:t>
      </w:r>
      <w:r w:rsidR="009026BD">
        <w:t xml:space="preserve"> espèces de grand gibier (cerf, chevreuil</w:t>
      </w:r>
      <w:r w:rsidR="00576707">
        <w:t xml:space="preserve"> et</w:t>
      </w:r>
      <w:r w:rsidR="009026BD">
        <w:t xml:space="preserve"> sanglier)</w:t>
      </w:r>
      <w:r w:rsidR="00065139">
        <w:t xml:space="preserve"> et à</w:t>
      </w:r>
      <w:r>
        <w:t xml:space="preserve"> optimiser l’équilibre entre </w:t>
      </w:r>
      <w:r w:rsidR="00065139">
        <w:t xml:space="preserve">ces </w:t>
      </w:r>
      <w:r w:rsidR="00576707">
        <w:t>trois</w:t>
      </w:r>
      <w:r>
        <w:t xml:space="preserve"> espèces et la régénération obligée de la forêt.</w:t>
      </w:r>
    </w:p>
    <w:p w:rsidR="009C0D92" w:rsidRDefault="009C0D92">
      <w:pPr>
        <w:pStyle w:val="Corpsdetexte"/>
      </w:pPr>
      <w:r>
        <w:rPr>
          <w:b/>
          <w:u w:val="single"/>
        </w:rPr>
        <w:t>La production de bois de qualité continue à être envisagée partout</w:t>
      </w:r>
      <w:r>
        <w:t xml:space="preserve"> (à l’exception des secteurs ou séries objectif hors production). De manière complémentaire, des démarches pour développer les autres fonctions sont mises en place. Il est important de rappeler qu’une forêt productive ne peut être gérée durablement et assurer ainsi une rentabilité à long terme que si elle </w:t>
      </w:r>
      <w:r>
        <w:rPr>
          <w:b/>
          <w:u w:val="single"/>
        </w:rPr>
        <w:t>tient compte de bases écologiques</w:t>
      </w:r>
      <w:r>
        <w:t xml:space="preserve"> (conditions climatiques et stationnelles, par exemple).</w:t>
      </w:r>
    </w:p>
    <w:p w:rsidR="00356540" w:rsidRDefault="00356540">
      <w:pPr>
        <w:pStyle w:val="Corpsdetexte"/>
      </w:pPr>
      <w:r w:rsidRPr="00D9513D">
        <w:rPr>
          <w:b/>
          <w:u w:val="single"/>
        </w:rPr>
        <w:t>Toutes les fonctions sont liées entre elles</w:t>
      </w:r>
      <w:r>
        <w:t xml:space="preserve"> et doivent</w:t>
      </w:r>
      <w:r w:rsidR="00D9513D">
        <w:t xml:space="preserve"> être i</w:t>
      </w:r>
      <w:r w:rsidR="00065139">
        <w:t>ntégr</w:t>
      </w:r>
      <w:r w:rsidR="00D9513D">
        <w:t>ées dans la réflexion d’un aménagement intégré de la propriété forestière.</w:t>
      </w:r>
    </w:p>
    <w:p w:rsidR="009C0D92" w:rsidRDefault="00AD5711" w:rsidP="00AD5711">
      <w:pPr>
        <w:pBdr>
          <w:top w:val="single" w:sz="4" w:space="1" w:color="auto"/>
          <w:left w:val="single" w:sz="4" w:space="4" w:color="auto"/>
          <w:bottom w:val="single" w:sz="4" w:space="1" w:color="auto"/>
          <w:right w:val="single" w:sz="4" w:space="4" w:color="auto"/>
        </w:pBdr>
        <w:spacing w:after="120"/>
        <w:jc w:val="both"/>
        <w:rPr>
          <w:rFonts w:ascii="Arial" w:hAnsi="Arial"/>
          <w:b/>
          <w:i/>
          <w:sz w:val="24"/>
        </w:rPr>
      </w:pPr>
      <w:r>
        <w:rPr>
          <w:rFonts w:ascii="Arial" w:hAnsi="Arial"/>
          <w:b/>
          <w:i/>
          <w:sz w:val="24"/>
        </w:rPr>
        <w:t>P</w:t>
      </w:r>
      <w:r w:rsidR="009C0D92">
        <w:rPr>
          <w:rFonts w:ascii="Arial" w:hAnsi="Arial"/>
          <w:b/>
          <w:i/>
          <w:sz w:val="24"/>
        </w:rPr>
        <w:t>our en savoir plus : chapitre</w:t>
      </w:r>
      <w:r w:rsidR="009026BD">
        <w:rPr>
          <w:rFonts w:ascii="Arial" w:hAnsi="Arial"/>
          <w:b/>
          <w:i/>
          <w:sz w:val="24"/>
        </w:rPr>
        <w:t>s</w:t>
      </w:r>
      <w:r w:rsidR="009C0D92">
        <w:rPr>
          <w:rFonts w:ascii="Arial" w:hAnsi="Arial"/>
          <w:b/>
          <w:i/>
          <w:sz w:val="24"/>
        </w:rPr>
        <w:t xml:space="preserve"> </w:t>
      </w:r>
      <w:r w:rsidR="009026BD">
        <w:rPr>
          <w:rFonts w:ascii="Arial" w:hAnsi="Arial"/>
          <w:b/>
          <w:i/>
          <w:sz w:val="24"/>
        </w:rPr>
        <w:t>2 et 3</w:t>
      </w:r>
      <w:r w:rsidR="009C0D92">
        <w:rPr>
          <w:rFonts w:ascii="Arial" w:hAnsi="Arial"/>
          <w:b/>
          <w:i/>
          <w:sz w:val="24"/>
        </w:rPr>
        <w:t xml:space="preserve"> du plan d’aménagement.</w:t>
      </w:r>
    </w:p>
    <w:p w:rsidR="009C0D92" w:rsidRDefault="009C0D92">
      <w:pPr>
        <w:pStyle w:val="Titre1"/>
        <w:spacing w:after="120"/>
      </w:pPr>
      <w:r>
        <w:t>4. Moyens mis en œuvre</w:t>
      </w:r>
    </w:p>
    <w:p w:rsidR="009C0D92" w:rsidRDefault="009C0D92">
      <w:pPr>
        <w:pStyle w:val="Corpsdetexte"/>
      </w:pPr>
      <w:r>
        <w:t xml:space="preserve">Tenant compte des contraintes identifiées </w:t>
      </w:r>
      <w:r w:rsidR="00FC1A95">
        <w:t>ci-avant,</w:t>
      </w:r>
      <w:r>
        <w:t xml:space="preserve"> la </w:t>
      </w:r>
      <w:r>
        <w:rPr>
          <w:b/>
          <w:u w:val="single"/>
        </w:rPr>
        <w:t>forêt future</w:t>
      </w:r>
      <w:r>
        <w:t xml:space="preserve"> évoluera vers une </w:t>
      </w:r>
      <w:r>
        <w:rPr>
          <w:b/>
          <w:u w:val="single"/>
        </w:rPr>
        <w:t xml:space="preserve">proportion </w:t>
      </w:r>
      <w:proofErr w:type="gramStart"/>
      <w:r w:rsidR="00D104D0">
        <w:rPr>
          <w:b/>
          <w:u w:val="single"/>
        </w:rPr>
        <w:t>en terme</w:t>
      </w:r>
      <w:proofErr w:type="gramEnd"/>
      <w:r w:rsidR="00D104D0">
        <w:rPr>
          <w:b/>
          <w:u w:val="single"/>
        </w:rPr>
        <w:t xml:space="preserve"> d’occupation </w:t>
      </w:r>
      <w:r w:rsidR="00F168FA">
        <w:rPr>
          <w:b/>
          <w:u w:val="single"/>
        </w:rPr>
        <w:t xml:space="preserve">de 57% de </w:t>
      </w:r>
      <w:r>
        <w:rPr>
          <w:b/>
          <w:u w:val="single"/>
        </w:rPr>
        <w:t xml:space="preserve">feuillus / </w:t>
      </w:r>
      <w:r w:rsidR="00F168FA">
        <w:rPr>
          <w:b/>
          <w:u w:val="single"/>
        </w:rPr>
        <w:t xml:space="preserve">42,3% de </w:t>
      </w:r>
      <w:r>
        <w:rPr>
          <w:b/>
          <w:u w:val="single"/>
        </w:rPr>
        <w:t xml:space="preserve">résineux </w:t>
      </w:r>
      <w:r w:rsidR="00F168FA">
        <w:rPr>
          <w:b/>
          <w:u w:val="single"/>
        </w:rPr>
        <w:t>/ 0,7% de milieux non forestiers</w:t>
      </w:r>
      <w:r>
        <w:t xml:space="preserve"> (</w:t>
      </w:r>
      <w:r w:rsidR="00D104D0">
        <w:t xml:space="preserve">c'est-à-dire </w:t>
      </w:r>
      <w:r w:rsidR="00F168FA">
        <w:t>une légère augmentation de</w:t>
      </w:r>
      <w:r w:rsidR="002945DA">
        <w:t>s feuillus par rapport aux résineux</w:t>
      </w:r>
      <w:r>
        <w:t>).</w:t>
      </w:r>
      <w:r w:rsidR="00874D0F">
        <w:t xml:space="preserve"> </w:t>
      </w:r>
    </w:p>
    <w:p w:rsidR="002945DA" w:rsidRDefault="00D104D0">
      <w:pPr>
        <w:spacing w:after="120"/>
        <w:jc w:val="both"/>
        <w:rPr>
          <w:sz w:val="22"/>
        </w:rPr>
      </w:pPr>
      <w:r>
        <w:rPr>
          <w:sz w:val="22"/>
        </w:rPr>
        <w:t xml:space="preserve">Pendant la durée de l’aménagement, </w:t>
      </w:r>
      <w:r w:rsidR="002945DA">
        <w:rPr>
          <w:sz w:val="22"/>
        </w:rPr>
        <w:t>44,5</w:t>
      </w:r>
      <w:r>
        <w:rPr>
          <w:sz w:val="22"/>
        </w:rPr>
        <w:t xml:space="preserve"> hectares de résineux seront transformés en feuillus (contraintes légales et patrimoniales). </w:t>
      </w:r>
    </w:p>
    <w:p w:rsidR="00874D0F" w:rsidRDefault="00874D0F">
      <w:pPr>
        <w:spacing w:after="120"/>
        <w:jc w:val="both"/>
        <w:rPr>
          <w:sz w:val="22"/>
        </w:rPr>
      </w:pPr>
      <w:r>
        <w:rPr>
          <w:sz w:val="22"/>
        </w:rPr>
        <w:t>Composition de la forêt future :</w:t>
      </w:r>
    </w:p>
    <w:tbl>
      <w:tblPr>
        <w:tblW w:w="5315" w:type="dxa"/>
        <w:jc w:val="center"/>
        <w:tblLayout w:type="fixed"/>
        <w:tblCellMar>
          <w:left w:w="70" w:type="dxa"/>
          <w:right w:w="70" w:type="dxa"/>
        </w:tblCellMar>
        <w:tblLook w:val="04A0" w:firstRow="1" w:lastRow="0" w:firstColumn="1" w:lastColumn="0" w:noHBand="0" w:noVBand="1"/>
      </w:tblPr>
      <w:tblGrid>
        <w:gridCol w:w="1985"/>
        <w:gridCol w:w="1771"/>
        <w:gridCol w:w="1559"/>
      </w:tblGrid>
      <w:tr w:rsidR="0043799B" w:rsidRPr="000434D4" w:rsidTr="002945DA">
        <w:trPr>
          <w:trHeight w:val="270"/>
          <w:jc w:val="center"/>
        </w:trPr>
        <w:tc>
          <w:tcPr>
            <w:tcW w:w="1985" w:type="dxa"/>
            <w:tcBorders>
              <w:bottom w:val="nil"/>
              <w:right w:val="single" w:sz="4" w:space="0" w:color="auto"/>
            </w:tcBorders>
            <w:shd w:val="clear" w:color="auto" w:fill="auto"/>
            <w:vAlign w:val="bottom"/>
          </w:tcPr>
          <w:p w:rsidR="0043799B" w:rsidRPr="002A3D6D" w:rsidRDefault="0043799B" w:rsidP="006903E7">
            <w:pPr>
              <w:jc w:val="center"/>
              <w:rPr>
                <w:b/>
                <w:lang w:val="fr-BE"/>
              </w:rPr>
            </w:pPr>
            <w:r w:rsidRPr="002A3D6D">
              <w:rPr>
                <w:b/>
                <w:lang w:val="fr-BE"/>
              </w:rPr>
              <w:t>Essences</w:t>
            </w:r>
            <w:r w:rsidR="002945DA">
              <w:rPr>
                <w:b/>
                <w:lang w:val="fr-BE"/>
              </w:rPr>
              <w:t xml:space="preserve"> résineuses</w:t>
            </w:r>
          </w:p>
        </w:tc>
        <w:tc>
          <w:tcPr>
            <w:tcW w:w="1771" w:type="dxa"/>
            <w:tcBorders>
              <w:left w:val="single" w:sz="4" w:space="0" w:color="auto"/>
              <w:bottom w:val="single" w:sz="4" w:space="0" w:color="auto"/>
              <w:right w:val="single" w:sz="4" w:space="0" w:color="auto"/>
            </w:tcBorders>
            <w:shd w:val="clear" w:color="auto" w:fill="auto"/>
            <w:noWrap/>
            <w:vAlign w:val="bottom"/>
            <w:hideMark/>
          </w:tcPr>
          <w:p w:rsidR="0043799B" w:rsidRPr="002A3D6D" w:rsidRDefault="0043799B" w:rsidP="006903E7">
            <w:pPr>
              <w:jc w:val="center"/>
              <w:rPr>
                <w:b/>
                <w:lang w:val="fr-BE"/>
              </w:rPr>
            </w:pPr>
            <w:r>
              <w:rPr>
                <w:b/>
                <w:lang w:val="fr-BE"/>
              </w:rPr>
              <w:t>% Forêt</w:t>
            </w:r>
            <w:r w:rsidRPr="002A3D6D">
              <w:rPr>
                <w:b/>
                <w:lang w:val="fr-BE"/>
              </w:rPr>
              <w:t xml:space="preserve"> actuelle</w:t>
            </w:r>
          </w:p>
        </w:tc>
        <w:tc>
          <w:tcPr>
            <w:tcW w:w="1559" w:type="dxa"/>
            <w:tcBorders>
              <w:left w:val="single" w:sz="4" w:space="0" w:color="auto"/>
              <w:bottom w:val="single" w:sz="4" w:space="0" w:color="auto"/>
            </w:tcBorders>
            <w:shd w:val="clear" w:color="auto" w:fill="auto"/>
            <w:noWrap/>
            <w:vAlign w:val="bottom"/>
            <w:hideMark/>
          </w:tcPr>
          <w:p w:rsidR="0043799B" w:rsidRPr="00350027" w:rsidRDefault="0043799B" w:rsidP="006903E7">
            <w:pPr>
              <w:jc w:val="center"/>
              <w:rPr>
                <w:b/>
                <w:lang w:val="fr-BE"/>
              </w:rPr>
            </w:pPr>
            <w:r>
              <w:rPr>
                <w:b/>
                <w:lang w:val="fr-BE"/>
              </w:rPr>
              <w:t>% Forêt</w:t>
            </w:r>
            <w:r w:rsidRPr="00350027">
              <w:rPr>
                <w:b/>
                <w:lang w:val="fr-BE"/>
              </w:rPr>
              <w:t xml:space="preserve"> </w:t>
            </w:r>
            <w:r>
              <w:rPr>
                <w:b/>
                <w:lang w:val="fr-BE"/>
              </w:rPr>
              <w:t>future</w:t>
            </w:r>
          </w:p>
        </w:tc>
      </w:tr>
      <w:tr w:rsidR="0043799B" w:rsidRPr="000434D4" w:rsidTr="002945DA">
        <w:trPr>
          <w:trHeight w:val="255"/>
          <w:jc w:val="center"/>
        </w:trPr>
        <w:tc>
          <w:tcPr>
            <w:tcW w:w="1985" w:type="dxa"/>
            <w:tcBorders>
              <w:top w:val="single" w:sz="4" w:space="0" w:color="auto"/>
              <w:bottom w:val="nil"/>
              <w:right w:val="single" w:sz="4" w:space="0" w:color="auto"/>
            </w:tcBorders>
            <w:shd w:val="clear" w:color="auto" w:fill="auto"/>
            <w:vAlign w:val="bottom"/>
          </w:tcPr>
          <w:p w:rsidR="0043799B" w:rsidRPr="00C46015" w:rsidRDefault="0043799B" w:rsidP="006903E7">
            <w:pPr>
              <w:jc w:val="center"/>
            </w:pPr>
            <w:r w:rsidRPr="00C46015">
              <w:t>Epicéas</w:t>
            </w:r>
          </w:p>
        </w:tc>
        <w:tc>
          <w:tcPr>
            <w:tcW w:w="1771" w:type="dxa"/>
            <w:tcBorders>
              <w:top w:val="single" w:sz="4" w:space="0" w:color="auto"/>
              <w:left w:val="single" w:sz="4" w:space="0" w:color="auto"/>
              <w:bottom w:val="nil"/>
            </w:tcBorders>
            <w:shd w:val="clear" w:color="auto" w:fill="auto"/>
            <w:noWrap/>
            <w:vAlign w:val="center"/>
            <w:hideMark/>
          </w:tcPr>
          <w:p w:rsidR="0043799B" w:rsidRPr="00C46015" w:rsidRDefault="002945DA" w:rsidP="006903E7">
            <w:pPr>
              <w:jc w:val="center"/>
              <w:rPr>
                <w:lang w:val="fr-BE"/>
              </w:rPr>
            </w:pPr>
            <w:r>
              <w:rPr>
                <w:lang w:val="fr-BE"/>
              </w:rPr>
              <w:t>61,9</w:t>
            </w:r>
            <w:r w:rsidR="0043799B">
              <w:rPr>
                <w:lang w:val="fr-BE"/>
              </w:rPr>
              <w:t>%</w:t>
            </w:r>
          </w:p>
        </w:tc>
        <w:tc>
          <w:tcPr>
            <w:tcW w:w="1559" w:type="dxa"/>
            <w:tcBorders>
              <w:top w:val="single" w:sz="4" w:space="0" w:color="auto"/>
              <w:left w:val="single" w:sz="4" w:space="0" w:color="auto"/>
              <w:bottom w:val="nil"/>
            </w:tcBorders>
            <w:shd w:val="clear" w:color="auto" w:fill="auto"/>
            <w:noWrap/>
            <w:vAlign w:val="center"/>
            <w:hideMark/>
          </w:tcPr>
          <w:p w:rsidR="0043799B" w:rsidRPr="007E43A8" w:rsidRDefault="002945DA" w:rsidP="006903E7">
            <w:pPr>
              <w:jc w:val="center"/>
              <w:rPr>
                <w:lang w:val="fr-BE"/>
              </w:rPr>
            </w:pPr>
            <w:r>
              <w:rPr>
                <w:lang w:val="fr-BE"/>
              </w:rPr>
              <w:t>50</w:t>
            </w:r>
            <w:r w:rsidR="0043799B">
              <w:rPr>
                <w:lang w:val="fr-BE"/>
              </w:rPr>
              <w:t>%</w:t>
            </w:r>
          </w:p>
        </w:tc>
      </w:tr>
      <w:tr w:rsidR="0043799B" w:rsidRPr="000434D4" w:rsidTr="002945DA">
        <w:trPr>
          <w:trHeight w:val="270"/>
          <w:jc w:val="center"/>
        </w:trPr>
        <w:tc>
          <w:tcPr>
            <w:tcW w:w="1985" w:type="dxa"/>
            <w:tcBorders>
              <w:top w:val="nil"/>
              <w:right w:val="single" w:sz="4" w:space="0" w:color="auto"/>
            </w:tcBorders>
            <w:shd w:val="clear" w:color="auto" w:fill="auto"/>
            <w:vAlign w:val="bottom"/>
          </w:tcPr>
          <w:p w:rsidR="0043799B" w:rsidRPr="00C46015" w:rsidRDefault="0043799B" w:rsidP="006903E7">
            <w:pPr>
              <w:jc w:val="center"/>
            </w:pPr>
            <w:r w:rsidRPr="00C46015">
              <w:t>Douglas</w:t>
            </w:r>
          </w:p>
        </w:tc>
        <w:tc>
          <w:tcPr>
            <w:tcW w:w="1771" w:type="dxa"/>
            <w:tcBorders>
              <w:top w:val="nil"/>
              <w:left w:val="single" w:sz="4" w:space="0" w:color="auto"/>
            </w:tcBorders>
            <w:shd w:val="clear" w:color="auto" w:fill="auto"/>
            <w:noWrap/>
            <w:vAlign w:val="center"/>
            <w:hideMark/>
          </w:tcPr>
          <w:p w:rsidR="0043799B" w:rsidRPr="00C46015" w:rsidRDefault="002945DA" w:rsidP="006903E7">
            <w:pPr>
              <w:jc w:val="center"/>
              <w:rPr>
                <w:lang w:val="fr-BE"/>
              </w:rPr>
            </w:pPr>
            <w:r>
              <w:rPr>
                <w:lang w:val="fr-BE"/>
              </w:rPr>
              <w:t>21,3</w:t>
            </w:r>
            <w:r w:rsidR="0043799B">
              <w:rPr>
                <w:lang w:val="fr-BE"/>
              </w:rPr>
              <w:t>%</w:t>
            </w:r>
          </w:p>
        </w:tc>
        <w:tc>
          <w:tcPr>
            <w:tcW w:w="1559" w:type="dxa"/>
            <w:tcBorders>
              <w:top w:val="nil"/>
              <w:left w:val="single" w:sz="4" w:space="0" w:color="auto"/>
            </w:tcBorders>
            <w:shd w:val="clear" w:color="auto" w:fill="auto"/>
            <w:noWrap/>
            <w:vAlign w:val="center"/>
            <w:hideMark/>
          </w:tcPr>
          <w:p w:rsidR="0043799B" w:rsidRPr="007E43A8" w:rsidRDefault="002945DA" w:rsidP="006903E7">
            <w:pPr>
              <w:jc w:val="center"/>
              <w:rPr>
                <w:lang w:val="fr-BE"/>
              </w:rPr>
            </w:pPr>
            <w:r>
              <w:rPr>
                <w:lang w:val="fr-BE"/>
              </w:rPr>
              <w:t>28</w:t>
            </w:r>
            <w:r w:rsidR="0043799B">
              <w:rPr>
                <w:lang w:val="fr-BE"/>
              </w:rPr>
              <w:t>%</w:t>
            </w:r>
          </w:p>
        </w:tc>
      </w:tr>
      <w:tr w:rsidR="0043799B" w:rsidRPr="000434D4" w:rsidTr="002945DA">
        <w:trPr>
          <w:trHeight w:val="270"/>
          <w:jc w:val="center"/>
        </w:trPr>
        <w:tc>
          <w:tcPr>
            <w:tcW w:w="1985" w:type="dxa"/>
            <w:tcBorders>
              <w:top w:val="nil"/>
              <w:right w:val="single" w:sz="4" w:space="0" w:color="auto"/>
            </w:tcBorders>
            <w:shd w:val="clear" w:color="auto" w:fill="auto"/>
            <w:vAlign w:val="bottom"/>
          </w:tcPr>
          <w:p w:rsidR="0043799B" w:rsidRPr="00C46015" w:rsidRDefault="0043799B" w:rsidP="006903E7">
            <w:pPr>
              <w:jc w:val="center"/>
            </w:pPr>
            <w:r w:rsidRPr="00C46015">
              <w:t>Mélèzes</w:t>
            </w:r>
          </w:p>
        </w:tc>
        <w:tc>
          <w:tcPr>
            <w:tcW w:w="1771" w:type="dxa"/>
            <w:tcBorders>
              <w:top w:val="nil"/>
              <w:left w:val="single" w:sz="4" w:space="0" w:color="auto"/>
            </w:tcBorders>
            <w:shd w:val="clear" w:color="auto" w:fill="auto"/>
            <w:noWrap/>
            <w:vAlign w:val="center"/>
            <w:hideMark/>
          </w:tcPr>
          <w:p w:rsidR="0043799B" w:rsidRPr="00C46015" w:rsidRDefault="002945DA" w:rsidP="006903E7">
            <w:pPr>
              <w:jc w:val="center"/>
              <w:rPr>
                <w:lang w:val="fr-BE"/>
              </w:rPr>
            </w:pPr>
            <w:r>
              <w:rPr>
                <w:lang w:val="fr-BE"/>
              </w:rPr>
              <w:t>7,5</w:t>
            </w:r>
            <w:r w:rsidR="0043799B">
              <w:rPr>
                <w:lang w:val="fr-BE"/>
              </w:rPr>
              <w:t>%</w:t>
            </w:r>
          </w:p>
        </w:tc>
        <w:tc>
          <w:tcPr>
            <w:tcW w:w="1559" w:type="dxa"/>
            <w:tcBorders>
              <w:top w:val="nil"/>
              <w:left w:val="single" w:sz="4" w:space="0" w:color="auto"/>
            </w:tcBorders>
            <w:shd w:val="clear" w:color="auto" w:fill="auto"/>
            <w:noWrap/>
            <w:vAlign w:val="center"/>
            <w:hideMark/>
          </w:tcPr>
          <w:p w:rsidR="0043799B" w:rsidRPr="007E43A8" w:rsidRDefault="002945DA" w:rsidP="006903E7">
            <w:pPr>
              <w:jc w:val="center"/>
              <w:rPr>
                <w:lang w:val="fr-BE"/>
              </w:rPr>
            </w:pPr>
            <w:r>
              <w:rPr>
                <w:lang w:val="fr-BE"/>
              </w:rPr>
              <w:t>13</w:t>
            </w:r>
            <w:r w:rsidR="0043799B">
              <w:rPr>
                <w:lang w:val="fr-BE"/>
              </w:rPr>
              <w:t>%</w:t>
            </w:r>
          </w:p>
        </w:tc>
      </w:tr>
      <w:tr w:rsidR="0043799B" w:rsidRPr="000434D4" w:rsidTr="002945DA">
        <w:trPr>
          <w:trHeight w:val="270"/>
          <w:jc w:val="center"/>
        </w:trPr>
        <w:tc>
          <w:tcPr>
            <w:tcW w:w="1985" w:type="dxa"/>
            <w:tcBorders>
              <w:top w:val="nil"/>
              <w:right w:val="single" w:sz="4" w:space="0" w:color="auto"/>
            </w:tcBorders>
            <w:shd w:val="clear" w:color="auto" w:fill="auto"/>
            <w:vAlign w:val="bottom"/>
          </w:tcPr>
          <w:p w:rsidR="0043799B" w:rsidRPr="00C46015" w:rsidRDefault="0043799B" w:rsidP="006903E7">
            <w:pPr>
              <w:jc w:val="center"/>
            </w:pPr>
            <w:r>
              <w:t>Pin Sylvestre</w:t>
            </w:r>
          </w:p>
        </w:tc>
        <w:tc>
          <w:tcPr>
            <w:tcW w:w="1771" w:type="dxa"/>
            <w:tcBorders>
              <w:top w:val="nil"/>
              <w:left w:val="single" w:sz="4" w:space="0" w:color="auto"/>
            </w:tcBorders>
            <w:shd w:val="clear" w:color="auto" w:fill="auto"/>
            <w:noWrap/>
            <w:vAlign w:val="center"/>
            <w:hideMark/>
          </w:tcPr>
          <w:p w:rsidR="0043799B" w:rsidRPr="00C46015" w:rsidRDefault="002945DA" w:rsidP="006903E7">
            <w:pPr>
              <w:jc w:val="center"/>
              <w:rPr>
                <w:lang w:val="fr-BE"/>
              </w:rPr>
            </w:pPr>
            <w:r>
              <w:rPr>
                <w:lang w:val="fr-BE"/>
              </w:rPr>
              <w:t>1</w:t>
            </w:r>
            <w:r w:rsidR="0043799B">
              <w:rPr>
                <w:lang w:val="fr-BE"/>
              </w:rPr>
              <w:t>%</w:t>
            </w:r>
          </w:p>
        </w:tc>
        <w:tc>
          <w:tcPr>
            <w:tcW w:w="1559" w:type="dxa"/>
            <w:tcBorders>
              <w:top w:val="nil"/>
              <w:left w:val="single" w:sz="4" w:space="0" w:color="auto"/>
            </w:tcBorders>
            <w:shd w:val="clear" w:color="auto" w:fill="auto"/>
            <w:noWrap/>
            <w:vAlign w:val="center"/>
            <w:hideMark/>
          </w:tcPr>
          <w:p w:rsidR="0043799B" w:rsidRPr="007E43A8" w:rsidRDefault="002945DA" w:rsidP="006903E7">
            <w:pPr>
              <w:jc w:val="center"/>
              <w:rPr>
                <w:lang w:val="fr-BE"/>
              </w:rPr>
            </w:pPr>
            <w:r>
              <w:rPr>
                <w:lang w:val="fr-BE"/>
              </w:rPr>
              <w:t>3</w:t>
            </w:r>
            <w:r w:rsidR="0043799B">
              <w:rPr>
                <w:lang w:val="fr-BE"/>
              </w:rPr>
              <w:t>%</w:t>
            </w:r>
          </w:p>
        </w:tc>
      </w:tr>
      <w:tr w:rsidR="0043799B" w:rsidRPr="000434D4" w:rsidTr="002945DA">
        <w:trPr>
          <w:trHeight w:val="270"/>
          <w:jc w:val="center"/>
        </w:trPr>
        <w:tc>
          <w:tcPr>
            <w:tcW w:w="1985" w:type="dxa"/>
            <w:tcBorders>
              <w:top w:val="nil"/>
              <w:right w:val="single" w:sz="4" w:space="0" w:color="auto"/>
            </w:tcBorders>
            <w:shd w:val="clear" w:color="auto" w:fill="auto"/>
            <w:vAlign w:val="bottom"/>
          </w:tcPr>
          <w:p w:rsidR="0043799B" w:rsidRPr="00C46015" w:rsidRDefault="0043799B" w:rsidP="006903E7">
            <w:pPr>
              <w:jc w:val="center"/>
            </w:pPr>
            <w:r w:rsidRPr="00C46015">
              <w:t>Autres résineux</w:t>
            </w:r>
          </w:p>
        </w:tc>
        <w:tc>
          <w:tcPr>
            <w:tcW w:w="1771" w:type="dxa"/>
            <w:tcBorders>
              <w:top w:val="nil"/>
              <w:left w:val="single" w:sz="4" w:space="0" w:color="auto"/>
            </w:tcBorders>
            <w:shd w:val="clear" w:color="auto" w:fill="auto"/>
            <w:noWrap/>
            <w:vAlign w:val="center"/>
            <w:hideMark/>
          </w:tcPr>
          <w:p w:rsidR="0043799B" w:rsidRPr="00C46015" w:rsidRDefault="002945DA" w:rsidP="006903E7">
            <w:pPr>
              <w:jc w:val="center"/>
              <w:rPr>
                <w:lang w:val="fr-BE"/>
              </w:rPr>
            </w:pPr>
            <w:r>
              <w:rPr>
                <w:lang w:val="fr-BE"/>
              </w:rPr>
              <w:t>1</w:t>
            </w:r>
            <w:r w:rsidR="0043799B">
              <w:rPr>
                <w:lang w:val="fr-BE"/>
              </w:rPr>
              <w:t>%</w:t>
            </w:r>
          </w:p>
        </w:tc>
        <w:tc>
          <w:tcPr>
            <w:tcW w:w="1559" w:type="dxa"/>
            <w:tcBorders>
              <w:top w:val="nil"/>
              <w:left w:val="single" w:sz="4" w:space="0" w:color="auto"/>
            </w:tcBorders>
            <w:shd w:val="clear" w:color="auto" w:fill="auto"/>
            <w:noWrap/>
            <w:vAlign w:val="center"/>
            <w:hideMark/>
          </w:tcPr>
          <w:p w:rsidR="0043799B" w:rsidRPr="007E43A8" w:rsidRDefault="002945DA" w:rsidP="006903E7">
            <w:pPr>
              <w:jc w:val="center"/>
              <w:rPr>
                <w:lang w:val="fr-BE"/>
              </w:rPr>
            </w:pPr>
            <w:r>
              <w:rPr>
                <w:lang w:val="fr-BE"/>
              </w:rPr>
              <w:t>6</w:t>
            </w:r>
            <w:r w:rsidR="0043799B">
              <w:rPr>
                <w:lang w:val="fr-BE"/>
              </w:rPr>
              <w:t>%</w:t>
            </w:r>
          </w:p>
        </w:tc>
      </w:tr>
      <w:tr w:rsidR="002945DA" w:rsidRPr="000434D4" w:rsidTr="002945DA">
        <w:trPr>
          <w:trHeight w:val="270"/>
          <w:jc w:val="center"/>
        </w:trPr>
        <w:tc>
          <w:tcPr>
            <w:tcW w:w="1985" w:type="dxa"/>
            <w:tcBorders>
              <w:top w:val="nil"/>
            </w:tcBorders>
            <w:shd w:val="clear" w:color="auto" w:fill="auto"/>
            <w:vAlign w:val="bottom"/>
          </w:tcPr>
          <w:p w:rsidR="002945DA" w:rsidRPr="00C46015" w:rsidRDefault="002945DA" w:rsidP="006903E7">
            <w:pPr>
              <w:jc w:val="center"/>
            </w:pPr>
          </w:p>
        </w:tc>
        <w:tc>
          <w:tcPr>
            <w:tcW w:w="1771" w:type="dxa"/>
            <w:tcBorders>
              <w:top w:val="nil"/>
            </w:tcBorders>
            <w:shd w:val="clear" w:color="auto" w:fill="auto"/>
            <w:noWrap/>
            <w:vAlign w:val="center"/>
          </w:tcPr>
          <w:p w:rsidR="002945DA" w:rsidRDefault="002945DA" w:rsidP="006903E7">
            <w:pPr>
              <w:jc w:val="center"/>
              <w:rPr>
                <w:lang w:val="fr-BE"/>
              </w:rPr>
            </w:pPr>
          </w:p>
        </w:tc>
        <w:tc>
          <w:tcPr>
            <w:tcW w:w="1559" w:type="dxa"/>
            <w:tcBorders>
              <w:top w:val="nil"/>
            </w:tcBorders>
            <w:shd w:val="clear" w:color="auto" w:fill="auto"/>
            <w:noWrap/>
            <w:vAlign w:val="center"/>
          </w:tcPr>
          <w:p w:rsidR="002945DA" w:rsidRDefault="002945DA" w:rsidP="006903E7">
            <w:pPr>
              <w:jc w:val="center"/>
              <w:rPr>
                <w:lang w:val="fr-BE"/>
              </w:rPr>
            </w:pPr>
          </w:p>
        </w:tc>
      </w:tr>
      <w:tr w:rsidR="002945DA" w:rsidRPr="000434D4" w:rsidTr="00380999">
        <w:trPr>
          <w:trHeight w:val="270"/>
          <w:jc w:val="center"/>
        </w:trPr>
        <w:tc>
          <w:tcPr>
            <w:tcW w:w="1985" w:type="dxa"/>
            <w:tcBorders>
              <w:bottom w:val="single" w:sz="4" w:space="0" w:color="auto"/>
              <w:right w:val="single" w:sz="4" w:space="0" w:color="auto"/>
            </w:tcBorders>
            <w:shd w:val="clear" w:color="auto" w:fill="auto"/>
            <w:vAlign w:val="bottom"/>
          </w:tcPr>
          <w:p w:rsidR="002945DA" w:rsidRPr="00C46015" w:rsidRDefault="002945DA" w:rsidP="002945DA">
            <w:pPr>
              <w:jc w:val="center"/>
              <w:rPr>
                <w:b/>
              </w:rPr>
            </w:pPr>
            <w:r>
              <w:rPr>
                <w:b/>
              </w:rPr>
              <w:t>Essences feuillues</w:t>
            </w:r>
          </w:p>
        </w:tc>
        <w:tc>
          <w:tcPr>
            <w:tcW w:w="1771" w:type="dxa"/>
            <w:tcBorders>
              <w:left w:val="single" w:sz="4" w:space="0" w:color="auto"/>
              <w:bottom w:val="single" w:sz="4" w:space="0" w:color="auto"/>
            </w:tcBorders>
            <w:shd w:val="clear" w:color="auto" w:fill="auto"/>
            <w:noWrap/>
            <w:vAlign w:val="bottom"/>
            <w:hideMark/>
          </w:tcPr>
          <w:p w:rsidR="002945DA" w:rsidRPr="002A3D6D" w:rsidRDefault="002945DA" w:rsidP="002945DA">
            <w:pPr>
              <w:jc w:val="center"/>
              <w:rPr>
                <w:b/>
                <w:lang w:val="fr-BE"/>
              </w:rPr>
            </w:pPr>
            <w:r>
              <w:rPr>
                <w:b/>
                <w:lang w:val="fr-BE"/>
              </w:rPr>
              <w:t>% Forêt</w:t>
            </w:r>
            <w:r w:rsidRPr="002A3D6D">
              <w:rPr>
                <w:b/>
                <w:lang w:val="fr-BE"/>
              </w:rPr>
              <w:t xml:space="preserve"> actuelle</w:t>
            </w:r>
          </w:p>
        </w:tc>
        <w:tc>
          <w:tcPr>
            <w:tcW w:w="1559" w:type="dxa"/>
            <w:tcBorders>
              <w:left w:val="single" w:sz="4" w:space="0" w:color="auto"/>
              <w:bottom w:val="single" w:sz="4" w:space="0" w:color="auto"/>
            </w:tcBorders>
            <w:shd w:val="clear" w:color="auto" w:fill="auto"/>
            <w:noWrap/>
            <w:vAlign w:val="bottom"/>
            <w:hideMark/>
          </w:tcPr>
          <w:p w:rsidR="002945DA" w:rsidRPr="00350027" w:rsidRDefault="002945DA" w:rsidP="002945DA">
            <w:pPr>
              <w:jc w:val="center"/>
              <w:rPr>
                <w:b/>
                <w:lang w:val="fr-BE"/>
              </w:rPr>
            </w:pPr>
            <w:r>
              <w:rPr>
                <w:b/>
                <w:lang w:val="fr-BE"/>
              </w:rPr>
              <w:t>% Forêt</w:t>
            </w:r>
            <w:r w:rsidRPr="00350027">
              <w:rPr>
                <w:b/>
                <w:lang w:val="fr-BE"/>
              </w:rPr>
              <w:t xml:space="preserve"> </w:t>
            </w:r>
            <w:r>
              <w:rPr>
                <w:b/>
                <w:lang w:val="fr-BE"/>
              </w:rPr>
              <w:t>future</w:t>
            </w:r>
          </w:p>
        </w:tc>
      </w:tr>
      <w:tr w:rsidR="0043799B" w:rsidRPr="000434D4" w:rsidTr="002945DA">
        <w:trPr>
          <w:trHeight w:val="255"/>
          <w:jc w:val="center"/>
        </w:trPr>
        <w:tc>
          <w:tcPr>
            <w:tcW w:w="1985" w:type="dxa"/>
            <w:tcBorders>
              <w:top w:val="single" w:sz="4" w:space="0" w:color="auto"/>
              <w:bottom w:val="nil"/>
              <w:right w:val="single" w:sz="4" w:space="0" w:color="auto"/>
            </w:tcBorders>
            <w:shd w:val="clear" w:color="auto" w:fill="auto"/>
            <w:vAlign w:val="bottom"/>
          </w:tcPr>
          <w:p w:rsidR="0043799B" w:rsidRPr="00682AB1" w:rsidRDefault="0043799B" w:rsidP="006903E7">
            <w:pPr>
              <w:jc w:val="center"/>
            </w:pPr>
            <w:r w:rsidRPr="00682AB1">
              <w:t>Chênes</w:t>
            </w:r>
          </w:p>
        </w:tc>
        <w:tc>
          <w:tcPr>
            <w:tcW w:w="1771" w:type="dxa"/>
            <w:tcBorders>
              <w:top w:val="single" w:sz="4" w:space="0" w:color="auto"/>
              <w:left w:val="single" w:sz="4" w:space="0" w:color="auto"/>
              <w:bottom w:val="nil"/>
            </w:tcBorders>
            <w:shd w:val="clear" w:color="auto" w:fill="auto"/>
            <w:noWrap/>
            <w:vAlign w:val="center"/>
            <w:hideMark/>
          </w:tcPr>
          <w:p w:rsidR="0043799B" w:rsidRPr="00682AB1" w:rsidRDefault="002945DA" w:rsidP="006903E7">
            <w:pPr>
              <w:jc w:val="center"/>
              <w:rPr>
                <w:lang w:val="fr-BE"/>
              </w:rPr>
            </w:pPr>
            <w:r>
              <w:rPr>
                <w:lang w:val="fr-BE"/>
              </w:rPr>
              <w:t>30,4</w:t>
            </w:r>
            <w:r w:rsidR="0043799B">
              <w:rPr>
                <w:lang w:val="fr-BE"/>
              </w:rPr>
              <w:t>%</w:t>
            </w:r>
          </w:p>
        </w:tc>
        <w:tc>
          <w:tcPr>
            <w:tcW w:w="1559" w:type="dxa"/>
            <w:tcBorders>
              <w:top w:val="single" w:sz="4" w:space="0" w:color="auto"/>
              <w:left w:val="single" w:sz="4" w:space="0" w:color="auto"/>
              <w:bottom w:val="nil"/>
            </w:tcBorders>
            <w:shd w:val="clear" w:color="auto" w:fill="auto"/>
            <w:noWrap/>
            <w:vAlign w:val="center"/>
            <w:hideMark/>
          </w:tcPr>
          <w:p w:rsidR="0043799B" w:rsidRPr="00036C62" w:rsidRDefault="002945DA" w:rsidP="006903E7">
            <w:pPr>
              <w:jc w:val="center"/>
              <w:rPr>
                <w:lang w:val="fr-BE"/>
              </w:rPr>
            </w:pPr>
            <w:r>
              <w:rPr>
                <w:lang w:val="fr-BE"/>
              </w:rPr>
              <w:t>31</w:t>
            </w:r>
            <w:r w:rsidR="0043799B">
              <w:rPr>
                <w:lang w:val="fr-BE"/>
              </w:rPr>
              <w:t>%</w:t>
            </w:r>
          </w:p>
        </w:tc>
      </w:tr>
      <w:tr w:rsidR="0043799B" w:rsidRPr="000434D4" w:rsidTr="002945DA">
        <w:trPr>
          <w:trHeight w:val="255"/>
          <w:jc w:val="center"/>
        </w:trPr>
        <w:tc>
          <w:tcPr>
            <w:tcW w:w="1985" w:type="dxa"/>
            <w:tcBorders>
              <w:top w:val="nil"/>
              <w:bottom w:val="nil"/>
              <w:right w:val="single" w:sz="4" w:space="0" w:color="auto"/>
            </w:tcBorders>
            <w:shd w:val="clear" w:color="auto" w:fill="auto"/>
            <w:vAlign w:val="bottom"/>
          </w:tcPr>
          <w:p w:rsidR="0043799B" w:rsidRPr="00682AB1" w:rsidRDefault="0043799B" w:rsidP="006903E7">
            <w:pPr>
              <w:jc w:val="center"/>
            </w:pPr>
            <w:r w:rsidRPr="00682AB1">
              <w:t>Hêtres</w:t>
            </w:r>
          </w:p>
        </w:tc>
        <w:tc>
          <w:tcPr>
            <w:tcW w:w="1771" w:type="dxa"/>
            <w:tcBorders>
              <w:top w:val="nil"/>
              <w:left w:val="single" w:sz="4" w:space="0" w:color="auto"/>
              <w:bottom w:val="nil"/>
            </w:tcBorders>
            <w:shd w:val="clear" w:color="auto" w:fill="auto"/>
            <w:noWrap/>
            <w:vAlign w:val="center"/>
            <w:hideMark/>
          </w:tcPr>
          <w:p w:rsidR="0043799B" w:rsidRPr="00682AB1" w:rsidRDefault="002945DA" w:rsidP="006903E7">
            <w:pPr>
              <w:jc w:val="center"/>
              <w:rPr>
                <w:lang w:val="fr-BE"/>
              </w:rPr>
            </w:pPr>
            <w:r>
              <w:rPr>
                <w:lang w:val="fr-BE"/>
              </w:rPr>
              <w:t>57</w:t>
            </w:r>
            <w:r w:rsidR="0043799B">
              <w:rPr>
                <w:lang w:val="fr-BE"/>
              </w:rPr>
              <w:t>%</w:t>
            </w:r>
          </w:p>
        </w:tc>
        <w:tc>
          <w:tcPr>
            <w:tcW w:w="1559" w:type="dxa"/>
            <w:tcBorders>
              <w:top w:val="nil"/>
              <w:left w:val="single" w:sz="4" w:space="0" w:color="auto"/>
              <w:bottom w:val="nil"/>
            </w:tcBorders>
            <w:shd w:val="clear" w:color="auto" w:fill="auto"/>
            <w:noWrap/>
            <w:vAlign w:val="center"/>
            <w:hideMark/>
          </w:tcPr>
          <w:p w:rsidR="0043799B" w:rsidRPr="00036C62" w:rsidRDefault="002945DA" w:rsidP="006903E7">
            <w:pPr>
              <w:jc w:val="center"/>
              <w:rPr>
                <w:lang w:val="fr-BE"/>
              </w:rPr>
            </w:pPr>
            <w:r>
              <w:rPr>
                <w:lang w:val="fr-BE"/>
              </w:rPr>
              <w:t>5</w:t>
            </w:r>
            <w:r w:rsidR="0043799B">
              <w:rPr>
                <w:lang w:val="fr-BE"/>
              </w:rPr>
              <w:t>2%</w:t>
            </w:r>
          </w:p>
        </w:tc>
      </w:tr>
      <w:tr w:rsidR="002945DA" w:rsidRPr="000434D4" w:rsidTr="002945DA">
        <w:trPr>
          <w:trHeight w:val="255"/>
          <w:jc w:val="center"/>
        </w:trPr>
        <w:tc>
          <w:tcPr>
            <w:tcW w:w="1985" w:type="dxa"/>
            <w:tcBorders>
              <w:top w:val="nil"/>
              <w:bottom w:val="nil"/>
              <w:right w:val="single" w:sz="4" w:space="0" w:color="auto"/>
            </w:tcBorders>
            <w:shd w:val="clear" w:color="auto" w:fill="auto"/>
            <w:vAlign w:val="bottom"/>
          </w:tcPr>
          <w:p w:rsidR="002945DA" w:rsidRPr="00682AB1" w:rsidRDefault="002945DA" w:rsidP="006903E7">
            <w:pPr>
              <w:jc w:val="center"/>
            </w:pPr>
            <w:r>
              <w:t>Charme</w:t>
            </w:r>
          </w:p>
        </w:tc>
        <w:tc>
          <w:tcPr>
            <w:tcW w:w="1771" w:type="dxa"/>
            <w:tcBorders>
              <w:top w:val="nil"/>
              <w:left w:val="single" w:sz="4" w:space="0" w:color="auto"/>
            </w:tcBorders>
            <w:shd w:val="clear" w:color="auto" w:fill="auto"/>
            <w:noWrap/>
            <w:vAlign w:val="center"/>
          </w:tcPr>
          <w:p w:rsidR="002945DA" w:rsidRDefault="002945DA" w:rsidP="006903E7">
            <w:pPr>
              <w:jc w:val="center"/>
              <w:rPr>
                <w:lang w:val="fr-BE"/>
              </w:rPr>
            </w:pPr>
            <w:r>
              <w:rPr>
                <w:lang w:val="fr-BE"/>
              </w:rPr>
              <w:t>1,2%</w:t>
            </w:r>
          </w:p>
        </w:tc>
        <w:tc>
          <w:tcPr>
            <w:tcW w:w="1559" w:type="dxa"/>
            <w:tcBorders>
              <w:top w:val="nil"/>
              <w:left w:val="single" w:sz="4" w:space="0" w:color="auto"/>
              <w:bottom w:val="nil"/>
            </w:tcBorders>
            <w:shd w:val="clear" w:color="auto" w:fill="auto"/>
            <w:noWrap/>
            <w:vAlign w:val="center"/>
          </w:tcPr>
          <w:p w:rsidR="002945DA" w:rsidRDefault="002945DA" w:rsidP="006903E7">
            <w:pPr>
              <w:jc w:val="center"/>
              <w:rPr>
                <w:lang w:val="fr-BE"/>
              </w:rPr>
            </w:pPr>
            <w:r>
              <w:rPr>
                <w:lang w:val="fr-BE"/>
              </w:rPr>
              <w:t>1,5%</w:t>
            </w:r>
          </w:p>
        </w:tc>
      </w:tr>
      <w:tr w:rsidR="002945DA" w:rsidRPr="000434D4" w:rsidTr="002945DA">
        <w:trPr>
          <w:trHeight w:val="255"/>
          <w:jc w:val="center"/>
        </w:trPr>
        <w:tc>
          <w:tcPr>
            <w:tcW w:w="1985" w:type="dxa"/>
            <w:tcBorders>
              <w:top w:val="nil"/>
              <w:bottom w:val="nil"/>
              <w:right w:val="single" w:sz="4" w:space="0" w:color="auto"/>
            </w:tcBorders>
            <w:shd w:val="clear" w:color="auto" w:fill="auto"/>
            <w:vAlign w:val="bottom"/>
          </w:tcPr>
          <w:p w:rsidR="002945DA" w:rsidRDefault="002945DA" w:rsidP="006903E7">
            <w:pPr>
              <w:jc w:val="center"/>
            </w:pPr>
            <w:r>
              <w:t>Bouleaux</w:t>
            </w:r>
          </w:p>
        </w:tc>
        <w:tc>
          <w:tcPr>
            <w:tcW w:w="1771" w:type="dxa"/>
            <w:tcBorders>
              <w:top w:val="nil"/>
              <w:left w:val="single" w:sz="4" w:space="0" w:color="auto"/>
            </w:tcBorders>
            <w:shd w:val="clear" w:color="auto" w:fill="auto"/>
            <w:noWrap/>
            <w:vAlign w:val="center"/>
          </w:tcPr>
          <w:p w:rsidR="002945DA" w:rsidRDefault="002945DA" w:rsidP="006903E7">
            <w:pPr>
              <w:jc w:val="center"/>
              <w:rPr>
                <w:lang w:val="fr-BE"/>
              </w:rPr>
            </w:pPr>
            <w:r>
              <w:rPr>
                <w:lang w:val="fr-BE"/>
              </w:rPr>
              <w:t>2,8%</w:t>
            </w:r>
          </w:p>
        </w:tc>
        <w:tc>
          <w:tcPr>
            <w:tcW w:w="1559" w:type="dxa"/>
            <w:tcBorders>
              <w:top w:val="nil"/>
              <w:left w:val="single" w:sz="4" w:space="0" w:color="auto"/>
              <w:bottom w:val="nil"/>
            </w:tcBorders>
            <w:shd w:val="clear" w:color="auto" w:fill="auto"/>
            <w:noWrap/>
            <w:vAlign w:val="center"/>
          </w:tcPr>
          <w:p w:rsidR="002945DA" w:rsidRDefault="002945DA" w:rsidP="006903E7">
            <w:pPr>
              <w:jc w:val="center"/>
              <w:rPr>
                <w:lang w:val="fr-BE"/>
              </w:rPr>
            </w:pPr>
            <w:r>
              <w:rPr>
                <w:lang w:val="fr-BE"/>
              </w:rPr>
              <w:t>4%</w:t>
            </w:r>
          </w:p>
        </w:tc>
      </w:tr>
      <w:tr w:rsidR="002945DA" w:rsidRPr="000434D4" w:rsidTr="002945DA">
        <w:trPr>
          <w:trHeight w:val="255"/>
          <w:jc w:val="center"/>
        </w:trPr>
        <w:tc>
          <w:tcPr>
            <w:tcW w:w="1985" w:type="dxa"/>
            <w:tcBorders>
              <w:top w:val="nil"/>
              <w:bottom w:val="nil"/>
              <w:right w:val="single" w:sz="4" w:space="0" w:color="auto"/>
            </w:tcBorders>
            <w:shd w:val="clear" w:color="auto" w:fill="auto"/>
            <w:vAlign w:val="bottom"/>
          </w:tcPr>
          <w:p w:rsidR="002945DA" w:rsidRDefault="002945DA" w:rsidP="006903E7">
            <w:pPr>
              <w:jc w:val="center"/>
            </w:pPr>
            <w:r>
              <w:t>Erables</w:t>
            </w:r>
          </w:p>
        </w:tc>
        <w:tc>
          <w:tcPr>
            <w:tcW w:w="1771" w:type="dxa"/>
            <w:tcBorders>
              <w:top w:val="nil"/>
              <w:left w:val="single" w:sz="4" w:space="0" w:color="auto"/>
            </w:tcBorders>
            <w:shd w:val="clear" w:color="auto" w:fill="auto"/>
            <w:noWrap/>
            <w:vAlign w:val="center"/>
          </w:tcPr>
          <w:p w:rsidR="002945DA" w:rsidRDefault="002945DA" w:rsidP="006903E7">
            <w:pPr>
              <w:jc w:val="center"/>
              <w:rPr>
                <w:lang w:val="fr-BE"/>
              </w:rPr>
            </w:pPr>
            <w:r>
              <w:rPr>
                <w:lang w:val="fr-BE"/>
              </w:rPr>
              <w:t>1,1%</w:t>
            </w:r>
          </w:p>
        </w:tc>
        <w:tc>
          <w:tcPr>
            <w:tcW w:w="1559" w:type="dxa"/>
            <w:tcBorders>
              <w:top w:val="nil"/>
              <w:left w:val="single" w:sz="4" w:space="0" w:color="auto"/>
              <w:bottom w:val="nil"/>
            </w:tcBorders>
            <w:shd w:val="clear" w:color="auto" w:fill="auto"/>
            <w:noWrap/>
            <w:vAlign w:val="center"/>
          </w:tcPr>
          <w:p w:rsidR="002945DA" w:rsidRDefault="002945DA" w:rsidP="006903E7">
            <w:pPr>
              <w:jc w:val="center"/>
              <w:rPr>
                <w:lang w:val="fr-BE"/>
              </w:rPr>
            </w:pPr>
            <w:r>
              <w:rPr>
                <w:lang w:val="fr-BE"/>
              </w:rPr>
              <w:t>2,5%</w:t>
            </w:r>
          </w:p>
        </w:tc>
      </w:tr>
      <w:tr w:rsidR="0043799B" w:rsidRPr="000434D4" w:rsidTr="002945DA">
        <w:trPr>
          <w:trHeight w:val="270"/>
          <w:jc w:val="center"/>
        </w:trPr>
        <w:tc>
          <w:tcPr>
            <w:tcW w:w="1985" w:type="dxa"/>
            <w:tcBorders>
              <w:top w:val="nil"/>
              <w:right w:val="single" w:sz="4" w:space="0" w:color="auto"/>
            </w:tcBorders>
            <w:shd w:val="clear" w:color="auto" w:fill="auto"/>
            <w:vAlign w:val="bottom"/>
          </w:tcPr>
          <w:p w:rsidR="0043799B" w:rsidRPr="00682AB1" w:rsidRDefault="0043799B" w:rsidP="006903E7">
            <w:pPr>
              <w:jc w:val="center"/>
            </w:pPr>
            <w:r w:rsidRPr="00682AB1">
              <w:t>Autres feuillus</w:t>
            </w:r>
          </w:p>
        </w:tc>
        <w:tc>
          <w:tcPr>
            <w:tcW w:w="1771" w:type="dxa"/>
            <w:tcBorders>
              <w:top w:val="nil"/>
              <w:left w:val="single" w:sz="4" w:space="0" w:color="auto"/>
              <w:right w:val="single" w:sz="4" w:space="0" w:color="auto"/>
            </w:tcBorders>
            <w:shd w:val="clear" w:color="auto" w:fill="auto"/>
            <w:noWrap/>
            <w:vAlign w:val="center"/>
            <w:hideMark/>
          </w:tcPr>
          <w:p w:rsidR="0043799B" w:rsidRPr="00682AB1" w:rsidRDefault="002945DA" w:rsidP="006903E7">
            <w:pPr>
              <w:jc w:val="center"/>
              <w:rPr>
                <w:lang w:val="fr-BE"/>
              </w:rPr>
            </w:pPr>
            <w:r>
              <w:rPr>
                <w:lang w:val="fr-BE"/>
              </w:rPr>
              <w:t>7,5</w:t>
            </w:r>
            <w:r w:rsidR="0043799B">
              <w:rPr>
                <w:lang w:val="fr-BE"/>
              </w:rPr>
              <w:t>%</w:t>
            </w:r>
          </w:p>
        </w:tc>
        <w:tc>
          <w:tcPr>
            <w:tcW w:w="1559" w:type="dxa"/>
            <w:tcBorders>
              <w:top w:val="nil"/>
              <w:left w:val="single" w:sz="4" w:space="0" w:color="auto"/>
            </w:tcBorders>
            <w:shd w:val="clear" w:color="auto" w:fill="auto"/>
            <w:noWrap/>
            <w:vAlign w:val="center"/>
            <w:hideMark/>
          </w:tcPr>
          <w:p w:rsidR="0043799B" w:rsidRPr="00036C62" w:rsidRDefault="002945DA" w:rsidP="006903E7">
            <w:pPr>
              <w:jc w:val="center"/>
              <w:rPr>
                <w:lang w:val="fr-BE"/>
              </w:rPr>
            </w:pPr>
            <w:r>
              <w:rPr>
                <w:lang w:val="fr-BE"/>
              </w:rPr>
              <w:t>9</w:t>
            </w:r>
            <w:r w:rsidR="0043799B">
              <w:rPr>
                <w:lang w:val="fr-BE"/>
              </w:rPr>
              <w:t>%</w:t>
            </w:r>
          </w:p>
        </w:tc>
      </w:tr>
    </w:tbl>
    <w:p w:rsidR="007F4971" w:rsidRDefault="007F4971">
      <w:pPr>
        <w:spacing w:after="120"/>
        <w:jc w:val="both"/>
        <w:rPr>
          <w:sz w:val="22"/>
        </w:rPr>
      </w:pPr>
    </w:p>
    <w:p w:rsidR="009C0D92" w:rsidRDefault="00874D0F">
      <w:pPr>
        <w:pStyle w:val="std"/>
        <w:ind w:left="0"/>
      </w:pPr>
      <w:r>
        <w:t>Les</w:t>
      </w:r>
      <w:r w:rsidR="009C0D92">
        <w:t xml:space="preserve"> </w:t>
      </w:r>
      <w:r w:rsidR="009C0D92">
        <w:rPr>
          <w:b/>
          <w:u w:val="single"/>
        </w:rPr>
        <w:t>peuplements feuillus</w:t>
      </w:r>
      <w:r w:rsidR="009C0D92">
        <w:t xml:space="preserve"> seront gérés en </w:t>
      </w:r>
      <w:r w:rsidR="009C0D92">
        <w:rPr>
          <w:b/>
          <w:u w:val="single"/>
        </w:rPr>
        <w:t>futaie irrégulière</w:t>
      </w:r>
      <w:r>
        <w:rPr>
          <w:b/>
          <w:u w:val="single"/>
        </w:rPr>
        <w:t>.</w:t>
      </w:r>
      <w:r w:rsidRPr="00F94319">
        <w:t xml:space="preserve"> D</w:t>
      </w:r>
      <w:r w:rsidR="00653D81">
        <w:t>eux objectifs indissociables : production rentable et continue</w:t>
      </w:r>
      <w:r w:rsidR="00410E61">
        <w:t xml:space="preserve"> de gros bois de qualité</w:t>
      </w:r>
      <w:r w:rsidR="00653D81">
        <w:t xml:space="preserve"> à l’échelle de la parcelle, protection de l’écosystème forestier naturel et de sa productivité. </w:t>
      </w:r>
      <w:r w:rsidR="00F94319">
        <w:t>Pour ce faire, on procèdera à la r</w:t>
      </w:r>
      <w:r w:rsidR="009C0D92">
        <w:rPr>
          <w:rFonts w:ascii="TimesNewRomanPSMT" w:hAnsi="TimesNewRomanPSMT"/>
          <w:snapToGrid w:val="0"/>
        </w:rPr>
        <w:t xml:space="preserve">écolte périodique d'arbres de tous âges, toutes essences et toutes dimensions, choisis individuellement ou par petits groupes. Sont donc associées dans une même opération la récolte d’arbres parvenus à maturité et l’amélioration au sein du reste du peuplement. </w:t>
      </w:r>
      <w:r w:rsidR="009C0D92">
        <w:t>La récolte des gros bois parvenus à maturité permet de libérer de l’espace au bénéfice de la régénération (semis, fourré, gaulis, perchis, petits bois). Les interventions seront réduites et ciblées, ce qui permettra de réduire les coûts.</w:t>
      </w:r>
      <w:r w:rsidR="00FE30EC">
        <w:t xml:space="preserve"> </w:t>
      </w:r>
    </w:p>
    <w:p w:rsidR="00CC57A1" w:rsidRDefault="00CC57A1" w:rsidP="00CC57A1">
      <w:pPr>
        <w:pStyle w:val="stdChar"/>
        <w:ind w:left="0"/>
      </w:pPr>
      <w:r>
        <w:t xml:space="preserve">Les </w:t>
      </w:r>
      <w:r>
        <w:rPr>
          <w:b/>
          <w:u w:val="single"/>
        </w:rPr>
        <w:t xml:space="preserve">futaies résineuses </w:t>
      </w:r>
      <w:r>
        <w:t>sont pour la plupart issues de plantation</w:t>
      </w:r>
      <w:r w:rsidRPr="00EF7DE7">
        <w:t>s</w:t>
      </w:r>
      <w:r>
        <w:t>. Elles seront exploitées par mise à blanc au terme d’exploitabilité défini pour chaque essence. Elles seront ensuite régénérées naturellement (si semis de qualité et en quantité suffisante) ou artificiellement (plantations).</w:t>
      </w:r>
    </w:p>
    <w:p w:rsidR="00CC57A1" w:rsidRDefault="00CC57A1">
      <w:pPr>
        <w:pStyle w:val="std"/>
        <w:ind w:left="0"/>
      </w:pPr>
      <w:r>
        <w:t xml:space="preserve">Enfin, </w:t>
      </w:r>
      <w:r w:rsidR="002945DA">
        <w:t>1,0</w:t>
      </w:r>
      <w:r>
        <w:t>8 hectares situés sur sol de pente</w:t>
      </w:r>
      <w:r w:rsidR="002945DA">
        <w:t>, le long d’une route,</w:t>
      </w:r>
      <w:r>
        <w:t xml:space="preserve"> seront gérés en </w:t>
      </w:r>
      <w:r w:rsidRPr="00CC57A1">
        <w:rPr>
          <w:b/>
          <w:u w:val="single"/>
        </w:rPr>
        <w:t>taillis</w:t>
      </w:r>
      <w:r>
        <w:t xml:space="preserve"> (mis</w:t>
      </w:r>
      <w:r w:rsidR="00FC1A95">
        <w:t>e</w:t>
      </w:r>
      <w:r>
        <w:t xml:space="preserve"> à blanc tous </w:t>
      </w:r>
      <w:r>
        <w:lastRenderedPageBreak/>
        <w:t>les 12 ans d’un tiers de la surface).</w:t>
      </w:r>
    </w:p>
    <w:p w:rsidR="00EF7DE7" w:rsidRDefault="009C0D92">
      <w:pPr>
        <w:spacing w:after="120"/>
        <w:jc w:val="both"/>
        <w:rPr>
          <w:sz w:val="22"/>
        </w:rPr>
      </w:pPr>
      <w:r>
        <w:rPr>
          <w:sz w:val="22"/>
        </w:rPr>
        <w:t>Des mesures s</w:t>
      </w:r>
      <w:r w:rsidR="00F94319">
        <w:rPr>
          <w:sz w:val="22"/>
        </w:rPr>
        <w:t>er</w:t>
      </w:r>
      <w:r>
        <w:rPr>
          <w:sz w:val="22"/>
        </w:rPr>
        <w:t>ont également prises pour favoriser la régénération naturelle des peuplements</w:t>
      </w:r>
      <w:r w:rsidR="00953F9D">
        <w:rPr>
          <w:sz w:val="22"/>
        </w:rPr>
        <w:t xml:space="preserve"> tout en veillant à augmenter la diversité tant en feuillus qu’en résineux </w:t>
      </w:r>
      <w:r>
        <w:rPr>
          <w:sz w:val="22"/>
        </w:rPr>
        <w:t xml:space="preserve">et </w:t>
      </w:r>
      <w:r w:rsidR="00F94319">
        <w:rPr>
          <w:sz w:val="22"/>
        </w:rPr>
        <w:t xml:space="preserve">la </w:t>
      </w:r>
      <w:r>
        <w:rPr>
          <w:sz w:val="22"/>
        </w:rPr>
        <w:t>limit</w:t>
      </w:r>
      <w:r w:rsidR="00F94319">
        <w:rPr>
          <w:sz w:val="22"/>
        </w:rPr>
        <w:t>ation du</w:t>
      </w:r>
      <w:r>
        <w:rPr>
          <w:sz w:val="22"/>
        </w:rPr>
        <w:t xml:space="preserve"> tassement des sols.</w:t>
      </w:r>
      <w:r w:rsidR="006174A1">
        <w:rPr>
          <w:sz w:val="22"/>
        </w:rPr>
        <w:t xml:space="preserve"> </w:t>
      </w:r>
    </w:p>
    <w:p w:rsidR="009C0D92" w:rsidRDefault="009C0D92">
      <w:pPr>
        <w:spacing w:after="120"/>
        <w:jc w:val="both"/>
        <w:rPr>
          <w:sz w:val="22"/>
        </w:rPr>
      </w:pPr>
      <w:r>
        <w:rPr>
          <w:sz w:val="22"/>
        </w:rPr>
        <w:t xml:space="preserve">Des </w:t>
      </w:r>
      <w:r>
        <w:rPr>
          <w:b/>
          <w:sz w:val="22"/>
          <w:u w:val="single"/>
        </w:rPr>
        <w:t>mesures générales liées aux différentes fonctions de la forêt</w:t>
      </w:r>
      <w:r>
        <w:rPr>
          <w:sz w:val="22"/>
        </w:rPr>
        <w:t xml:space="preserve"> sont proposées. Elles sont complétées par des </w:t>
      </w:r>
      <w:r>
        <w:rPr>
          <w:b/>
          <w:sz w:val="22"/>
          <w:u w:val="single"/>
        </w:rPr>
        <w:t>mesures spécifiques</w:t>
      </w:r>
      <w:r w:rsidR="00953F9D">
        <w:rPr>
          <w:sz w:val="22"/>
        </w:rPr>
        <w:t xml:space="preserve"> liées à ces mêmes fonctions.</w:t>
      </w:r>
    </w:p>
    <w:p w:rsidR="00953F9D" w:rsidRDefault="00953F9D">
      <w:pPr>
        <w:spacing w:after="120"/>
        <w:jc w:val="both"/>
        <w:rPr>
          <w:sz w:val="22"/>
        </w:rPr>
      </w:pPr>
    </w:p>
    <w:p w:rsidR="00953F9D" w:rsidRDefault="00953F9D" w:rsidP="00953F9D">
      <w:pPr>
        <w:pBdr>
          <w:top w:val="single" w:sz="4" w:space="1" w:color="auto"/>
          <w:left w:val="single" w:sz="4" w:space="4" w:color="auto"/>
          <w:bottom w:val="single" w:sz="4" w:space="1" w:color="auto"/>
          <w:right w:val="single" w:sz="4" w:space="4" w:color="auto"/>
        </w:pBdr>
        <w:spacing w:after="120"/>
        <w:jc w:val="both"/>
        <w:rPr>
          <w:rFonts w:ascii="Arial" w:hAnsi="Arial"/>
          <w:b/>
          <w:i/>
          <w:sz w:val="24"/>
        </w:rPr>
      </w:pPr>
      <w:r>
        <w:rPr>
          <w:rFonts w:ascii="Arial" w:hAnsi="Arial"/>
          <w:b/>
          <w:i/>
          <w:sz w:val="24"/>
        </w:rPr>
        <w:t>Pour en savoir plus : chapitre 3 du plan d’aménagement.</w:t>
      </w:r>
    </w:p>
    <w:p w:rsidR="00953F9D" w:rsidRDefault="00953F9D" w:rsidP="00953F9D">
      <w:pPr>
        <w:pStyle w:val="Titre1"/>
        <w:spacing w:after="120"/>
      </w:pPr>
      <w:r>
        <w:t xml:space="preserve">5. Estimations financières et suivi de la mise en </w:t>
      </w:r>
      <w:proofErr w:type="spellStart"/>
      <w:r>
        <w:t>oeuvre</w:t>
      </w:r>
      <w:proofErr w:type="spellEnd"/>
    </w:p>
    <w:p w:rsidR="00CE4570" w:rsidRDefault="00CE4570" w:rsidP="00CE4570">
      <w:pPr>
        <w:jc w:val="both"/>
        <w:rPr>
          <w:sz w:val="22"/>
          <w:szCs w:val="22"/>
        </w:rPr>
      </w:pPr>
      <w:r>
        <w:rPr>
          <w:sz w:val="22"/>
          <w:szCs w:val="22"/>
        </w:rPr>
        <w:t>I</w:t>
      </w:r>
      <w:r w:rsidRPr="00CE4570">
        <w:rPr>
          <w:sz w:val="22"/>
          <w:szCs w:val="22"/>
        </w:rPr>
        <w:t>l importe d’émettre des réserves quant aux estimations financières</w:t>
      </w:r>
      <w:r>
        <w:rPr>
          <w:sz w:val="22"/>
          <w:szCs w:val="22"/>
        </w:rPr>
        <w:t xml:space="preserve"> reprises dans le plan d’aménagement</w:t>
      </w:r>
      <w:r w:rsidRPr="00CE4570">
        <w:rPr>
          <w:sz w:val="22"/>
          <w:szCs w:val="22"/>
        </w:rPr>
        <w:t xml:space="preserve">, celles-ci étant basées sur les prix </w:t>
      </w:r>
      <w:r w:rsidR="008A13F2">
        <w:rPr>
          <w:sz w:val="22"/>
          <w:szCs w:val="22"/>
        </w:rPr>
        <w:t>des dernières années</w:t>
      </w:r>
      <w:r w:rsidRPr="00CE4570">
        <w:rPr>
          <w:sz w:val="22"/>
          <w:szCs w:val="22"/>
        </w:rPr>
        <w:t xml:space="preserve"> </w:t>
      </w:r>
      <w:r w:rsidR="002945DA">
        <w:rPr>
          <w:sz w:val="22"/>
          <w:szCs w:val="22"/>
        </w:rPr>
        <w:t xml:space="preserve">(avant la crise des scolytes de l’épicéa) </w:t>
      </w:r>
      <w:r w:rsidRPr="00CE4570">
        <w:rPr>
          <w:sz w:val="22"/>
          <w:szCs w:val="22"/>
        </w:rPr>
        <w:t>tant pour le bois sur pied que pour les travaux à exécuter. Ces prix peuvent fluctuer dans le temps de manière parfois significative, surtout pour le prix des bois sur pied. Ces fluctuations influencent donc la fiabilité des données prévisionnelles.</w:t>
      </w:r>
    </w:p>
    <w:p w:rsidR="008A13F2" w:rsidRPr="00CE4570" w:rsidRDefault="008A13F2" w:rsidP="00CE4570">
      <w:pPr>
        <w:jc w:val="both"/>
        <w:rPr>
          <w:sz w:val="22"/>
          <w:szCs w:val="22"/>
        </w:rPr>
      </w:pPr>
    </w:p>
    <w:p w:rsidR="00CE4570" w:rsidRDefault="00CE4570" w:rsidP="00CE4570">
      <w:pPr>
        <w:jc w:val="both"/>
        <w:rPr>
          <w:sz w:val="22"/>
          <w:szCs w:val="22"/>
        </w:rPr>
      </w:pPr>
      <w:r w:rsidRPr="00CE4570">
        <w:rPr>
          <w:sz w:val="22"/>
          <w:szCs w:val="22"/>
        </w:rPr>
        <w:t>Cette fiabilité peut également être mise à mal par des aléas climatiques ou sanitaires qui pourraient avoir une incidence sur les prélèvements effectués.</w:t>
      </w:r>
    </w:p>
    <w:p w:rsidR="008A13F2" w:rsidRDefault="008A13F2" w:rsidP="00CE4570">
      <w:pPr>
        <w:jc w:val="both"/>
        <w:rPr>
          <w:sz w:val="22"/>
          <w:szCs w:val="22"/>
        </w:rPr>
      </w:pPr>
    </w:p>
    <w:p w:rsidR="007432BB" w:rsidRDefault="007432BB" w:rsidP="00CE4570">
      <w:pPr>
        <w:jc w:val="both"/>
        <w:rPr>
          <w:sz w:val="22"/>
          <w:szCs w:val="22"/>
        </w:rPr>
      </w:pPr>
      <w:r>
        <w:rPr>
          <w:sz w:val="22"/>
          <w:szCs w:val="22"/>
        </w:rPr>
        <w:t>L’équilibre des coupes a néanmoins été recherché principalement au niveau des résineux étant donné qu’ils génèrent proportionnellement des revenus supérieurs aux feuillus.</w:t>
      </w:r>
    </w:p>
    <w:p w:rsidR="008A13F2" w:rsidRPr="00CE4570" w:rsidRDefault="008A13F2" w:rsidP="00CE4570">
      <w:pPr>
        <w:jc w:val="both"/>
        <w:rPr>
          <w:sz w:val="22"/>
          <w:szCs w:val="22"/>
        </w:rPr>
      </w:pPr>
    </w:p>
    <w:p w:rsidR="00CE4570" w:rsidRDefault="007432BB">
      <w:pPr>
        <w:pStyle w:val="Corpsdetexte"/>
        <w:rPr>
          <w:b/>
        </w:rPr>
      </w:pPr>
      <w:r>
        <w:t>L</w:t>
      </w:r>
      <w:r w:rsidRPr="00EB6C5F">
        <w:t xml:space="preserve">e revenu annuel moyen attendu dans les années à venir devrait être légèrement </w:t>
      </w:r>
      <w:r w:rsidR="002945DA">
        <w:t>inféri</w:t>
      </w:r>
      <w:r w:rsidRPr="00EB6C5F">
        <w:t>eur à celui des dernières</w:t>
      </w:r>
      <w:r w:rsidR="00EF7DE7">
        <w:t xml:space="preserve"> années.</w:t>
      </w:r>
      <w:r w:rsidRPr="00EB6C5F">
        <w:t xml:space="preserve"> </w:t>
      </w:r>
      <w:r w:rsidR="00EF7DE7">
        <w:t xml:space="preserve">Le taux de réinvestissement </w:t>
      </w:r>
      <w:r w:rsidR="00FB7DE7">
        <w:t>sera</w:t>
      </w:r>
      <w:r w:rsidR="00EF7DE7">
        <w:t xml:space="preserve"> de l’ordre de</w:t>
      </w:r>
      <w:r w:rsidRPr="00EB6C5F">
        <w:t xml:space="preserve"> </w:t>
      </w:r>
      <w:r w:rsidRPr="00EB6C5F">
        <w:rPr>
          <w:b/>
        </w:rPr>
        <w:t>1</w:t>
      </w:r>
      <w:r w:rsidR="002945DA">
        <w:rPr>
          <w:b/>
        </w:rPr>
        <w:t>3,8</w:t>
      </w:r>
      <w:r w:rsidRPr="00EB6C5F">
        <w:rPr>
          <w:b/>
        </w:rPr>
        <w:t xml:space="preserve"> %</w:t>
      </w:r>
      <w:r>
        <w:rPr>
          <w:b/>
        </w:rPr>
        <w:t>.</w:t>
      </w:r>
    </w:p>
    <w:p w:rsidR="008A13F2" w:rsidRDefault="008A13F2">
      <w:pPr>
        <w:pStyle w:val="Corpsdetexte"/>
      </w:pPr>
    </w:p>
    <w:p w:rsidR="009C0D92" w:rsidRDefault="009C0D92">
      <w:pPr>
        <w:pStyle w:val="Corpsdetexte"/>
      </w:pPr>
      <w:r w:rsidRPr="007432BB">
        <w:t xml:space="preserve">Il est important de </w:t>
      </w:r>
      <w:r w:rsidR="00F81AFD" w:rsidRPr="007432BB">
        <w:t>rappeler l’importance d’investir en plantations</w:t>
      </w:r>
      <w:r w:rsidR="00CE4570" w:rsidRPr="007432BB">
        <w:t xml:space="preserve"> </w:t>
      </w:r>
      <w:r w:rsidR="007432BB">
        <w:t xml:space="preserve">résineuses et feuillues </w:t>
      </w:r>
      <w:r w:rsidR="00F81AFD" w:rsidRPr="007432BB">
        <w:t>mais aussi dans tous les travaux de soins culturaux afin de rajeunir la forêt et d’améliorer la qualité des bois.</w:t>
      </w:r>
      <w:r w:rsidR="00AA719F">
        <w:t xml:space="preserve"> L’entretien du réseau de voirie est, lui aussi, indispensable. Afin de préserver la voirie, il importe de veiller à l’application </w:t>
      </w:r>
      <w:r w:rsidR="00FC1A95">
        <w:t xml:space="preserve">stricte </w:t>
      </w:r>
      <w:r w:rsidR="00AA719F">
        <w:t>du cahier des charges de la vente de bois.</w:t>
      </w:r>
    </w:p>
    <w:p w:rsidR="008A13F2" w:rsidRDefault="008A13F2">
      <w:pPr>
        <w:pStyle w:val="Corpsdetexte"/>
      </w:pPr>
    </w:p>
    <w:p w:rsidR="00CE4570" w:rsidRPr="00CE4570" w:rsidRDefault="00CE4570" w:rsidP="00CE4570">
      <w:pPr>
        <w:jc w:val="both"/>
        <w:rPr>
          <w:sz w:val="22"/>
          <w:szCs w:val="22"/>
        </w:rPr>
      </w:pPr>
      <w:r>
        <w:rPr>
          <w:sz w:val="22"/>
          <w:szCs w:val="22"/>
        </w:rPr>
        <w:t>I</w:t>
      </w:r>
      <w:r w:rsidRPr="00CE4570">
        <w:rPr>
          <w:sz w:val="22"/>
          <w:szCs w:val="22"/>
        </w:rPr>
        <w:t xml:space="preserve">l est prévu de produire annuellement un rapport d’évaluation permettant le suivi de l’évolution des principales caractéristiques de l’unité d’aménagement et de sa gestion. Ce rapport s’appuie majoritairement sur des données synthétiques, en particulier des indicateurs standardisés (base de données EFOR) ou des informations relatives aux travaux exécutés (plantations), aux coupes réalisées </w:t>
      </w:r>
      <w:r w:rsidR="00FC1A95">
        <w:rPr>
          <w:sz w:val="22"/>
          <w:szCs w:val="22"/>
        </w:rPr>
        <w:t xml:space="preserve">et </w:t>
      </w:r>
      <w:r w:rsidRPr="00CE4570">
        <w:rPr>
          <w:sz w:val="22"/>
          <w:szCs w:val="22"/>
        </w:rPr>
        <w:t>aux recettes et dépenses, par exemple.</w:t>
      </w:r>
    </w:p>
    <w:p w:rsidR="00CE4570" w:rsidRPr="00CE4570" w:rsidRDefault="00CE4570" w:rsidP="00CE4570">
      <w:pPr>
        <w:pStyle w:val="Corpsdetexte"/>
        <w:rPr>
          <w:szCs w:val="22"/>
        </w:rPr>
      </w:pPr>
      <w:r w:rsidRPr="00CE4570">
        <w:rPr>
          <w:szCs w:val="22"/>
        </w:rPr>
        <w:t>Ces rapports de synthèse, présentent essentiellement un intérêt en termes de comparaisons successives, et doivent également constituer un outil de suivi de l’application de l’aménagement et de réajustement des mesures prises si nécessaire.</w:t>
      </w:r>
    </w:p>
    <w:p w:rsidR="00CE4570" w:rsidRDefault="00CE4570">
      <w:pPr>
        <w:pStyle w:val="Corpsdetexte"/>
      </w:pPr>
    </w:p>
    <w:p w:rsidR="009C0D92" w:rsidRDefault="00AD5711" w:rsidP="00AD5711">
      <w:pPr>
        <w:pBdr>
          <w:top w:val="single" w:sz="4" w:space="1" w:color="auto"/>
          <w:left w:val="single" w:sz="4" w:space="4" w:color="auto"/>
          <w:bottom w:val="single" w:sz="4" w:space="1" w:color="auto"/>
          <w:right w:val="single" w:sz="4" w:space="4" w:color="auto"/>
        </w:pBdr>
        <w:spacing w:after="120"/>
        <w:jc w:val="both"/>
        <w:rPr>
          <w:rFonts w:ascii="Arial" w:hAnsi="Arial"/>
          <w:b/>
          <w:i/>
          <w:sz w:val="24"/>
        </w:rPr>
      </w:pPr>
      <w:r>
        <w:rPr>
          <w:rFonts w:ascii="Arial" w:hAnsi="Arial"/>
          <w:b/>
          <w:i/>
          <w:sz w:val="24"/>
        </w:rPr>
        <w:t>P</w:t>
      </w:r>
      <w:r w:rsidR="009C0D92">
        <w:rPr>
          <w:rFonts w:ascii="Arial" w:hAnsi="Arial"/>
          <w:b/>
          <w:i/>
          <w:sz w:val="24"/>
        </w:rPr>
        <w:t>our en savoir plus : chapitre</w:t>
      </w:r>
      <w:r w:rsidR="003A3325">
        <w:rPr>
          <w:rFonts w:ascii="Arial" w:hAnsi="Arial"/>
          <w:b/>
          <w:i/>
          <w:sz w:val="24"/>
        </w:rPr>
        <w:t>s 3 et</w:t>
      </w:r>
      <w:r w:rsidR="009C0D92">
        <w:rPr>
          <w:rFonts w:ascii="Arial" w:hAnsi="Arial"/>
          <w:b/>
          <w:i/>
          <w:sz w:val="24"/>
        </w:rPr>
        <w:t xml:space="preserve"> </w:t>
      </w:r>
      <w:r w:rsidR="00CE4570">
        <w:rPr>
          <w:rFonts w:ascii="Arial" w:hAnsi="Arial"/>
          <w:b/>
          <w:i/>
          <w:sz w:val="24"/>
        </w:rPr>
        <w:t>4</w:t>
      </w:r>
      <w:r w:rsidR="008A67CE">
        <w:rPr>
          <w:rFonts w:ascii="Arial" w:hAnsi="Arial"/>
          <w:b/>
          <w:i/>
          <w:sz w:val="24"/>
        </w:rPr>
        <w:t xml:space="preserve"> </w:t>
      </w:r>
      <w:r w:rsidR="009C0D92">
        <w:rPr>
          <w:rFonts w:ascii="Arial" w:hAnsi="Arial"/>
          <w:b/>
          <w:i/>
          <w:sz w:val="24"/>
        </w:rPr>
        <w:t>du plan d’aménagement.</w:t>
      </w:r>
    </w:p>
    <w:sectPr w:rsidR="009C0D92" w:rsidSect="00666034">
      <w:footerReference w:type="default" r:id="rId11"/>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8A2" w:rsidRDefault="00F018A2">
      <w:r>
        <w:separator/>
      </w:r>
    </w:p>
  </w:endnote>
  <w:endnote w:type="continuationSeparator" w:id="0">
    <w:p w:rsidR="00F018A2" w:rsidRDefault="00F0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A2" w:rsidRDefault="00F018A2">
    <w:pPr>
      <w:pStyle w:val="Pieddepage"/>
      <w:pBdr>
        <w:top w:val="single" w:sz="4" w:space="1" w:color="auto"/>
      </w:pBdr>
      <w:rPr>
        <w:rFonts w:ascii="Arial" w:hAnsi="Arial"/>
      </w:rPr>
    </w:pPr>
    <w:r>
      <w:rPr>
        <w:rFonts w:ascii="Arial" w:hAnsi="Arial"/>
      </w:rPr>
      <w:t xml:space="preserve">DGO3 – DNF – PAF </w:t>
    </w:r>
    <w:r w:rsidR="00B13379">
      <w:rPr>
        <w:rFonts w:ascii="Arial" w:hAnsi="Arial"/>
      </w:rPr>
      <w:t>Neufchâteau</w:t>
    </w:r>
    <w:r>
      <w:rPr>
        <w:rFonts w:ascii="Arial" w:hAnsi="Arial"/>
      </w:rPr>
      <w:t xml:space="preserve"> - 20</w:t>
    </w:r>
    <w:r w:rsidR="00B13379">
      <w:rPr>
        <w:rFonts w:ascii="Arial" w:hAnsi="Arial"/>
      </w:rPr>
      <w:t>20</w:t>
    </w:r>
    <w:r>
      <w:rPr>
        <w:rFonts w:ascii="Arial" w:hAnsi="Arial"/>
      </w:rPr>
      <w:tab/>
    </w:r>
    <w:r>
      <w:rPr>
        <w:rFonts w:ascii="Arial" w:hAnsi="Arial"/>
      </w:rPr>
      <w:tab/>
    </w:r>
    <w:r w:rsidR="00463984">
      <w:rPr>
        <w:rStyle w:val="Numrodepage"/>
        <w:rFonts w:ascii="Arial" w:hAnsi="Arial"/>
      </w:rPr>
      <w:fldChar w:fldCharType="begin"/>
    </w:r>
    <w:r>
      <w:rPr>
        <w:rStyle w:val="Numrodepage"/>
        <w:rFonts w:ascii="Arial" w:hAnsi="Arial"/>
      </w:rPr>
      <w:instrText xml:space="preserve"> PAGE </w:instrText>
    </w:r>
    <w:r w:rsidR="00463984">
      <w:rPr>
        <w:rStyle w:val="Numrodepage"/>
        <w:rFonts w:ascii="Arial" w:hAnsi="Arial"/>
      </w:rPr>
      <w:fldChar w:fldCharType="separate"/>
    </w:r>
    <w:r w:rsidR="007F4971">
      <w:rPr>
        <w:rStyle w:val="Numrodepage"/>
        <w:rFonts w:ascii="Arial" w:hAnsi="Arial"/>
        <w:noProof/>
      </w:rPr>
      <w:t>5</w:t>
    </w:r>
    <w:r w:rsidR="00463984">
      <w:rPr>
        <w:rStyle w:val="Numrodepage"/>
        <w:rFonts w:ascii="Arial" w:hAnsi="Arial"/>
      </w:rPr>
      <w:fldChar w:fldCharType="end"/>
    </w:r>
    <w:r>
      <w:rPr>
        <w:rStyle w:val="Numrodepage"/>
        <w:rFonts w:ascii="Arial" w:hAnsi="Arial"/>
      </w:rPr>
      <w:t>/</w:t>
    </w:r>
    <w:r w:rsidR="00463984">
      <w:rPr>
        <w:rStyle w:val="Numrodepage"/>
        <w:rFonts w:ascii="Arial" w:hAnsi="Arial"/>
      </w:rPr>
      <w:fldChar w:fldCharType="begin"/>
    </w:r>
    <w:r>
      <w:rPr>
        <w:rStyle w:val="Numrodepage"/>
        <w:rFonts w:ascii="Arial" w:hAnsi="Arial"/>
      </w:rPr>
      <w:instrText xml:space="preserve"> NUMPAGES </w:instrText>
    </w:r>
    <w:r w:rsidR="00463984">
      <w:rPr>
        <w:rStyle w:val="Numrodepage"/>
        <w:rFonts w:ascii="Arial" w:hAnsi="Arial"/>
      </w:rPr>
      <w:fldChar w:fldCharType="separate"/>
    </w:r>
    <w:r w:rsidR="007F4971">
      <w:rPr>
        <w:rStyle w:val="Numrodepage"/>
        <w:rFonts w:ascii="Arial" w:hAnsi="Arial"/>
        <w:noProof/>
      </w:rPr>
      <w:t>6</w:t>
    </w:r>
    <w:r w:rsidR="00463984">
      <w:rPr>
        <w:rStyle w:val="Numrodepage"/>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8A2" w:rsidRDefault="00F018A2">
      <w:r>
        <w:separator/>
      </w:r>
    </w:p>
  </w:footnote>
  <w:footnote w:type="continuationSeparator" w:id="0">
    <w:p w:rsidR="00F018A2" w:rsidRDefault="00F01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7133"/>
    <w:multiLevelType w:val="singleLevel"/>
    <w:tmpl w:val="977C0DC0"/>
    <w:lvl w:ilvl="0">
      <w:start w:val="2"/>
      <w:numFmt w:val="bullet"/>
      <w:lvlText w:val="-"/>
      <w:lvlJc w:val="left"/>
      <w:pPr>
        <w:tabs>
          <w:tab w:val="num" w:pos="360"/>
        </w:tabs>
        <w:ind w:left="360" w:hanging="360"/>
      </w:pPr>
      <w:rPr>
        <w:rFonts w:hint="default"/>
      </w:rPr>
    </w:lvl>
  </w:abstractNum>
  <w:abstractNum w:abstractNumId="1" w15:restartNumberingAfterBreak="0">
    <w:nsid w:val="292B1CCC"/>
    <w:multiLevelType w:val="multilevel"/>
    <w:tmpl w:val="D42077F4"/>
    <w:lvl w:ilvl="0">
      <w:start w:val="1"/>
      <w:numFmt w:val="bullet"/>
      <w:lvlText w:val=""/>
      <w:lvlJc w:val="left"/>
      <w:pPr>
        <w:tabs>
          <w:tab w:val="num" w:pos="927"/>
        </w:tabs>
        <w:ind w:left="927" w:hanging="360"/>
      </w:pPr>
      <w:rPr>
        <w:rFonts w:ascii="Symbol" w:hAnsi="Symbol" w:hint="default"/>
      </w:rPr>
    </w:lvl>
    <w:lvl w:ilvl="1" w:tentative="1">
      <w:start w:val="1"/>
      <w:numFmt w:val="bullet"/>
      <w:lvlText w:val="o"/>
      <w:lvlJc w:val="left"/>
      <w:pPr>
        <w:tabs>
          <w:tab w:val="num" w:pos="1717"/>
        </w:tabs>
        <w:ind w:left="1717" w:hanging="360"/>
      </w:pPr>
      <w:rPr>
        <w:rFonts w:ascii="Courier New" w:hAnsi="Courier New" w:cs="Wingdings" w:hint="default"/>
      </w:rPr>
    </w:lvl>
    <w:lvl w:ilvl="2" w:tentative="1">
      <w:start w:val="1"/>
      <w:numFmt w:val="bullet"/>
      <w:lvlText w:val=""/>
      <w:lvlJc w:val="left"/>
      <w:pPr>
        <w:tabs>
          <w:tab w:val="num" w:pos="2437"/>
        </w:tabs>
        <w:ind w:left="2437" w:hanging="360"/>
      </w:pPr>
      <w:rPr>
        <w:rFonts w:ascii="Wingdings" w:hAnsi="Wingdings" w:hint="default"/>
      </w:rPr>
    </w:lvl>
    <w:lvl w:ilvl="3" w:tentative="1">
      <w:start w:val="1"/>
      <w:numFmt w:val="bullet"/>
      <w:lvlText w:val=""/>
      <w:lvlJc w:val="left"/>
      <w:pPr>
        <w:tabs>
          <w:tab w:val="num" w:pos="3157"/>
        </w:tabs>
        <w:ind w:left="3157" w:hanging="360"/>
      </w:pPr>
      <w:rPr>
        <w:rFonts w:ascii="Symbol" w:hAnsi="Symbol" w:hint="default"/>
      </w:rPr>
    </w:lvl>
    <w:lvl w:ilvl="4" w:tentative="1">
      <w:start w:val="1"/>
      <w:numFmt w:val="bullet"/>
      <w:lvlText w:val="o"/>
      <w:lvlJc w:val="left"/>
      <w:pPr>
        <w:tabs>
          <w:tab w:val="num" w:pos="3877"/>
        </w:tabs>
        <w:ind w:left="3877" w:hanging="360"/>
      </w:pPr>
      <w:rPr>
        <w:rFonts w:ascii="Courier New" w:hAnsi="Courier New" w:cs="Wingdings" w:hint="default"/>
      </w:rPr>
    </w:lvl>
    <w:lvl w:ilvl="5" w:tentative="1">
      <w:start w:val="1"/>
      <w:numFmt w:val="bullet"/>
      <w:lvlText w:val=""/>
      <w:lvlJc w:val="left"/>
      <w:pPr>
        <w:tabs>
          <w:tab w:val="num" w:pos="4597"/>
        </w:tabs>
        <w:ind w:left="4597" w:hanging="360"/>
      </w:pPr>
      <w:rPr>
        <w:rFonts w:ascii="Wingdings" w:hAnsi="Wingdings" w:hint="default"/>
      </w:rPr>
    </w:lvl>
    <w:lvl w:ilvl="6" w:tentative="1">
      <w:start w:val="1"/>
      <w:numFmt w:val="bullet"/>
      <w:lvlText w:val=""/>
      <w:lvlJc w:val="left"/>
      <w:pPr>
        <w:tabs>
          <w:tab w:val="num" w:pos="5317"/>
        </w:tabs>
        <w:ind w:left="5317" w:hanging="360"/>
      </w:pPr>
      <w:rPr>
        <w:rFonts w:ascii="Symbol" w:hAnsi="Symbol" w:hint="default"/>
      </w:rPr>
    </w:lvl>
    <w:lvl w:ilvl="7" w:tentative="1">
      <w:start w:val="1"/>
      <w:numFmt w:val="bullet"/>
      <w:lvlText w:val="o"/>
      <w:lvlJc w:val="left"/>
      <w:pPr>
        <w:tabs>
          <w:tab w:val="num" w:pos="6037"/>
        </w:tabs>
        <w:ind w:left="6037" w:hanging="360"/>
      </w:pPr>
      <w:rPr>
        <w:rFonts w:ascii="Courier New" w:hAnsi="Courier New" w:cs="Wingdings" w:hint="default"/>
      </w:rPr>
    </w:lvl>
    <w:lvl w:ilvl="8" w:tentative="1">
      <w:start w:val="1"/>
      <w:numFmt w:val="bullet"/>
      <w:lvlText w:val=""/>
      <w:lvlJc w:val="left"/>
      <w:pPr>
        <w:tabs>
          <w:tab w:val="num" w:pos="6757"/>
        </w:tabs>
        <w:ind w:left="6757" w:hanging="360"/>
      </w:pPr>
      <w:rPr>
        <w:rFonts w:ascii="Wingdings" w:hAnsi="Wingdings" w:hint="default"/>
      </w:rPr>
    </w:lvl>
  </w:abstractNum>
  <w:abstractNum w:abstractNumId="2" w15:restartNumberingAfterBreak="0">
    <w:nsid w:val="41121802"/>
    <w:multiLevelType w:val="hybridMultilevel"/>
    <w:tmpl w:val="64F45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77E54AB"/>
    <w:multiLevelType w:val="multilevel"/>
    <w:tmpl w:val="BFF0D582"/>
    <w:lvl w:ilvl="0">
      <w:start w:val="1"/>
      <w:numFmt w:val="bullet"/>
      <w:lvlText w:val=""/>
      <w:lvlJc w:val="left"/>
      <w:pPr>
        <w:tabs>
          <w:tab w:val="num" w:pos="1647"/>
        </w:tabs>
        <w:ind w:left="1647"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B83A9A"/>
    <w:multiLevelType w:val="multilevel"/>
    <w:tmpl w:val="EC368D0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11"/>
    <w:rsid w:val="00041604"/>
    <w:rsid w:val="00050D96"/>
    <w:rsid w:val="00051765"/>
    <w:rsid w:val="00052DBB"/>
    <w:rsid w:val="00065139"/>
    <w:rsid w:val="00065A64"/>
    <w:rsid w:val="00097339"/>
    <w:rsid w:val="000C16D9"/>
    <w:rsid w:val="000D3FF6"/>
    <w:rsid w:val="000E1C6C"/>
    <w:rsid w:val="00102625"/>
    <w:rsid w:val="00115F0F"/>
    <w:rsid w:val="0012729E"/>
    <w:rsid w:val="00141393"/>
    <w:rsid w:val="00152ABA"/>
    <w:rsid w:val="00153B5C"/>
    <w:rsid w:val="001C1074"/>
    <w:rsid w:val="0020244A"/>
    <w:rsid w:val="00206B6F"/>
    <w:rsid w:val="002105A6"/>
    <w:rsid w:val="00214E9C"/>
    <w:rsid w:val="00227D72"/>
    <w:rsid w:val="00240587"/>
    <w:rsid w:val="00266D71"/>
    <w:rsid w:val="00271B04"/>
    <w:rsid w:val="002812B3"/>
    <w:rsid w:val="002850F3"/>
    <w:rsid w:val="002945DA"/>
    <w:rsid w:val="00295FD0"/>
    <w:rsid w:val="002B2DAF"/>
    <w:rsid w:val="00332C7C"/>
    <w:rsid w:val="00356540"/>
    <w:rsid w:val="0037505A"/>
    <w:rsid w:val="003A3325"/>
    <w:rsid w:val="003B681E"/>
    <w:rsid w:val="003C028E"/>
    <w:rsid w:val="003C6FA9"/>
    <w:rsid w:val="003E02D2"/>
    <w:rsid w:val="003F6A87"/>
    <w:rsid w:val="00410E61"/>
    <w:rsid w:val="00421FBD"/>
    <w:rsid w:val="004309E3"/>
    <w:rsid w:val="0043799B"/>
    <w:rsid w:val="004410FA"/>
    <w:rsid w:val="00463984"/>
    <w:rsid w:val="00490BE3"/>
    <w:rsid w:val="004A03EE"/>
    <w:rsid w:val="004C2E2C"/>
    <w:rsid w:val="004C3302"/>
    <w:rsid w:val="004D4954"/>
    <w:rsid w:val="004F7AF0"/>
    <w:rsid w:val="00511F50"/>
    <w:rsid w:val="0052225F"/>
    <w:rsid w:val="00530062"/>
    <w:rsid w:val="00532B0A"/>
    <w:rsid w:val="00542840"/>
    <w:rsid w:val="0054523B"/>
    <w:rsid w:val="00555DE7"/>
    <w:rsid w:val="00573592"/>
    <w:rsid w:val="00576707"/>
    <w:rsid w:val="00594CC8"/>
    <w:rsid w:val="005F4B55"/>
    <w:rsid w:val="0060399B"/>
    <w:rsid w:val="0060438E"/>
    <w:rsid w:val="006174A1"/>
    <w:rsid w:val="00617529"/>
    <w:rsid w:val="006355F1"/>
    <w:rsid w:val="006370E7"/>
    <w:rsid w:val="00653D81"/>
    <w:rsid w:val="006612C9"/>
    <w:rsid w:val="00666034"/>
    <w:rsid w:val="006A359B"/>
    <w:rsid w:val="007138A2"/>
    <w:rsid w:val="0072370F"/>
    <w:rsid w:val="007349AA"/>
    <w:rsid w:val="007432BB"/>
    <w:rsid w:val="007576C8"/>
    <w:rsid w:val="00760ED3"/>
    <w:rsid w:val="0076132D"/>
    <w:rsid w:val="0076744D"/>
    <w:rsid w:val="0077608D"/>
    <w:rsid w:val="007A0393"/>
    <w:rsid w:val="007B364F"/>
    <w:rsid w:val="007B71AA"/>
    <w:rsid w:val="007D12E3"/>
    <w:rsid w:val="007F4971"/>
    <w:rsid w:val="008007F2"/>
    <w:rsid w:val="00817D8D"/>
    <w:rsid w:val="008279D3"/>
    <w:rsid w:val="00850941"/>
    <w:rsid w:val="008534B4"/>
    <w:rsid w:val="00874D0F"/>
    <w:rsid w:val="008937A7"/>
    <w:rsid w:val="00894788"/>
    <w:rsid w:val="008A1017"/>
    <w:rsid w:val="008A13F2"/>
    <w:rsid w:val="008A23C4"/>
    <w:rsid w:val="008A67CE"/>
    <w:rsid w:val="008C288B"/>
    <w:rsid w:val="008E27AB"/>
    <w:rsid w:val="009026BD"/>
    <w:rsid w:val="00922C8E"/>
    <w:rsid w:val="009272FF"/>
    <w:rsid w:val="0094003C"/>
    <w:rsid w:val="00953F9D"/>
    <w:rsid w:val="00974090"/>
    <w:rsid w:val="009C0D92"/>
    <w:rsid w:val="009E5ABD"/>
    <w:rsid w:val="009F4CA4"/>
    <w:rsid w:val="00A41FB2"/>
    <w:rsid w:val="00A52A78"/>
    <w:rsid w:val="00A52BB4"/>
    <w:rsid w:val="00A667B4"/>
    <w:rsid w:val="00A7774E"/>
    <w:rsid w:val="00A806E9"/>
    <w:rsid w:val="00AA43EE"/>
    <w:rsid w:val="00AA719F"/>
    <w:rsid w:val="00AC2E68"/>
    <w:rsid w:val="00AC3098"/>
    <w:rsid w:val="00AD5711"/>
    <w:rsid w:val="00AE2BFC"/>
    <w:rsid w:val="00AE353F"/>
    <w:rsid w:val="00B0125D"/>
    <w:rsid w:val="00B01D5A"/>
    <w:rsid w:val="00B13379"/>
    <w:rsid w:val="00B444E9"/>
    <w:rsid w:val="00B45F60"/>
    <w:rsid w:val="00B469E2"/>
    <w:rsid w:val="00B554E5"/>
    <w:rsid w:val="00B638A3"/>
    <w:rsid w:val="00B74674"/>
    <w:rsid w:val="00B775B6"/>
    <w:rsid w:val="00B9532F"/>
    <w:rsid w:val="00BA2DF4"/>
    <w:rsid w:val="00BA321B"/>
    <w:rsid w:val="00BB1F79"/>
    <w:rsid w:val="00BB530E"/>
    <w:rsid w:val="00BB7B45"/>
    <w:rsid w:val="00BE7845"/>
    <w:rsid w:val="00BF1AF2"/>
    <w:rsid w:val="00C14720"/>
    <w:rsid w:val="00C37CA9"/>
    <w:rsid w:val="00C63136"/>
    <w:rsid w:val="00C67C70"/>
    <w:rsid w:val="00C73060"/>
    <w:rsid w:val="00C75559"/>
    <w:rsid w:val="00C81849"/>
    <w:rsid w:val="00C84ED8"/>
    <w:rsid w:val="00CA025D"/>
    <w:rsid w:val="00CA6513"/>
    <w:rsid w:val="00CB5135"/>
    <w:rsid w:val="00CC0FCA"/>
    <w:rsid w:val="00CC4AC3"/>
    <w:rsid w:val="00CC57A1"/>
    <w:rsid w:val="00CD5817"/>
    <w:rsid w:val="00CE4570"/>
    <w:rsid w:val="00CF54EC"/>
    <w:rsid w:val="00CF6FCF"/>
    <w:rsid w:val="00CF78F2"/>
    <w:rsid w:val="00D010DF"/>
    <w:rsid w:val="00D104D0"/>
    <w:rsid w:val="00D125C6"/>
    <w:rsid w:val="00D21CE5"/>
    <w:rsid w:val="00D223C0"/>
    <w:rsid w:val="00D3720F"/>
    <w:rsid w:val="00D42C55"/>
    <w:rsid w:val="00D551A4"/>
    <w:rsid w:val="00D9513D"/>
    <w:rsid w:val="00DC3B26"/>
    <w:rsid w:val="00DE09F2"/>
    <w:rsid w:val="00DE6C4B"/>
    <w:rsid w:val="00E40E83"/>
    <w:rsid w:val="00E42B82"/>
    <w:rsid w:val="00EA12EA"/>
    <w:rsid w:val="00EA366E"/>
    <w:rsid w:val="00EA7333"/>
    <w:rsid w:val="00ED4AF2"/>
    <w:rsid w:val="00ED7F30"/>
    <w:rsid w:val="00EF7DE7"/>
    <w:rsid w:val="00F018A2"/>
    <w:rsid w:val="00F01B8E"/>
    <w:rsid w:val="00F168FA"/>
    <w:rsid w:val="00F17814"/>
    <w:rsid w:val="00F31011"/>
    <w:rsid w:val="00F33002"/>
    <w:rsid w:val="00F509CD"/>
    <w:rsid w:val="00F81AFD"/>
    <w:rsid w:val="00F92E3D"/>
    <w:rsid w:val="00F94319"/>
    <w:rsid w:val="00FA065B"/>
    <w:rsid w:val="00FB7DE7"/>
    <w:rsid w:val="00FC17DD"/>
    <w:rsid w:val="00FC1A95"/>
    <w:rsid w:val="00FD163D"/>
    <w:rsid w:val="00FE30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06E9495-0143-4501-92B7-90710CBE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034"/>
    <w:rPr>
      <w:lang w:val="fr-FR"/>
    </w:rPr>
  </w:style>
  <w:style w:type="paragraph" w:styleId="Titre1">
    <w:name w:val="heading 1"/>
    <w:basedOn w:val="Normal"/>
    <w:next w:val="Normal"/>
    <w:qFormat/>
    <w:rsid w:val="00666034"/>
    <w:pPr>
      <w:keepNext/>
      <w:spacing w:before="240" w:after="60"/>
      <w:outlineLvl w:val="0"/>
    </w:pPr>
    <w:rPr>
      <w:rFonts w:ascii="Arial" w:hAnsi="Arial"/>
      <w:b/>
      <w:kern w:val="28"/>
      <w:sz w:val="28"/>
    </w:rPr>
  </w:style>
  <w:style w:type="paragraph" w:styleId="Titre2">
    <w:name w:val="heading 2"/>
    <w:basedOn w:val="Normal"/>
    <w:next w:val="Normal"/>
    <w:qFormat/>
    <w:rsid w:val="00666034"/>
    <w:pPr>
      <w:keepNext/>
      <w:spacing w:after="120"/>
      <w:jc w:val="center"/>
      <w:outlineLvl w:val="1"/>
    </w:pPr>
    <w:rPr>
      <w:rFonts w:ascii="Arial" w:hAnsi="Arial"/>
      <w:b/>
      <w:sz w:val="28"/>
    </w:rPr>
  </w:style>
  <w:style w:type="paragraph" w:styleId="Titre7">
    <w:name w:val="heading 7"/>
    <w:basedOn w:val="Normal"/>
    <w:next w:val="Normal"/>
    <w:link w:val="Titre7Car"/>
    <w:uiPriority w:val="9"/>
    <w:semiHidden/>
    <w:unhideWhenUsed/>
    <w:qFormat/>
    <w:rsid w:val="00CE45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66034"/>
    <w:pPr>
      <w:tabs>
        <w:tab w:val="center" w:pos="4536"/>
        <w:tab w:val="right" w:pos="9072"/>
      </w:tabs>
    </w:pPr>
  </w:style>
  <w:style w:type="paragraph" w:styleId="Pieddepage">
    <w:name w:val="footer"/>
    <w:basedOn w:val="Normal"/>
    <w:semiHidden/>
    <w:rsid w:val="00666034"/>
    <w:pPr>
      <w:tabs>
        <w:tab w:val="center" w:pos="4536"/>
        <w:tab w:val="right" w:pos="9072"/>
      </w:tabs>
    </w:pPr>
  </w:style>
  <w:style w:type="character" w:styleId="Numrodepage">
    <w:name w:val="page number"/>
    <w:basedOn w:val="Policepardfaut"/>
    <w:semiHidden/>
    <w:rsid w:val="00666034"/>
  </w:style>
  <w:style w:type="paragraph" w:customStyle="1" w:styleId="std">
    <w:name w:val="§ std"/>
    <w:basedOn w:val="Normal"/>
    <w:rsid w:val="00666034"/>
    <w:pPr>
      <w:widowControl w:val="0"/>
      <w:spacing w:after="120"/>
      <w:ind w:left="567"/>
      <w:jc w:val="both"/>
    </w:pPr>
    <w:rPr>
      <w:sz w:val="22"/>
    </w:rPr>
  </w:style>
  <w:style w:type="paragraph" w:customStyle="1" w:styleId="tiret">
    <w:name w:val="tiret"/>
    <w:basedOn w:val="std"/>
    <w:rsid w:val="00666034"/>
    <w:pPr>
      <w:tabs>
        <w:tab w:val="left" w:pos="2694"/>
      </w:tabs>
      <w:spacing w:after="0"/>
      <w:ind w:left="1560" w:hanging="284"/>
    </w:pPr>
  </w:style>
  <w:style w:type="paragraph" w:customStyle="1" w:styleId="stdCharCharChar2">
    <w:name w:val="§ std Char Char Char2"/>
    <w:basedOn w:val="Normal"/>
    <w:rsid w:val="00666034"/>
    <w:pPr>
      <w:widowControl w:val="0"/>
      <w:spacing w:after="120"/>
      <w:ind w:left="567"/>
      <w:jc w:val="both"/>
    </w:pPr>
    <w:rPr>
      <w:sz w:val="22"/>
    </w:rPr>
  </w:style>
  <w:style w:type="paragraph" w:styleId="Corpsdetexte">
    <w:name w:val="Body Text"/>
    <w:basedOn w:val="Normal"/>
    <w:semiHidden/>
    <w:rsid w:val="00666034"/>
    <w:pPr>
      <w:spacing w:after="120"/>
      <w:jc w:val="both"/>
    </w:pPr>
    <w:rPr>
      <w:sz w:val="22"/>
    </w:rPr>
  </w:style>
  <w:style w:type="paragraph" w:customStyle="1" w:styleId="stdChar">
    <w:name w:val="§ std Char"/>
    <w:basedOn w:val="Normal"/>
    <w:rsid w:val="00666034"/>
    <w:pPr>
      <w:widowControl w:val="0"/>
      <w:spacing w:after="120"/>
      <w:ind w:left="567"/>
      <w:jc w:val="both"/>
    </w:pPr>
    <w:rPr>
      <w:sz w:val="22"/>
    </w:rPr>
  </w:style>
  <w:style w:type="paragraph" w:styleId="Corpsdetexte2">
    <w:name w:val="Body Text 2"/>
    <w:basedOn w:val="Normal"/>
    <w:semiHidden/>
    <w:rsid w:val="00666034"/>
    <w:rPr>
      <w:sz w:val="22"/>
    </w:rPr>
  </w:style>
  <w:style w:type="character" w:customStyle="1" w:styleId="Titre6Car">
    <w:name w:val="Titre 6 Car"/>
    <w:basedOn w:val="Policepardfaut"/>
    <w:rsid w:val="00666034"/>
    <w:rPr>
      <w:rFonts w:ascii="Arial" w:hAnsi="Arial"/>
      <w:i/>
      <w:noProof w:val="0"/>
      <w:sz w:val="22"/>
      <w:lang w:val="fr-FR" w:eastAsia="fr-BE" w:bidi="ar-SA"/>
    </w:rPr>
  </w:style>
  <w:style w:type="paragraph" w:styleId="Textedebulles">
    <w:name w:val="Balloon Text"/>
    <w:basedOn w:val="Normal"/>
    <w:link w:val="TextedebullesCar"/>
    <w:uiPriority w:val="99"/>
    <w:semiHidden/>
    <w:unhideWhenUsed/>
    <w:rsid w:val="00206B6F"/>
    <w:rPr>
      <w:rFonts w:ascii="Tahoma" w:hAnsi="Tahoma" w:cs="Tahoma"/>
      <w:sz w:val="16"/>
      <w:szCs w:val="16"/>
    </w:rPr>
  </w:style>
  <w:style w:type="character" w:customStyle="1" w:styleId="TextedebullesCar">
    <w:name w:val="Texte de bulles Car"/>
    <w:basedOn w:val="Policepardfaut"/>
    <w:link w:val="Textedebulles"/>
    <w:uiPriority w:val="99"/>
    <w:semiHidden/>
    <w:rsid w:val="00206B6F"/>
    <w:rPr>
      <w:rFonts w:ascii="Tahoma" w:hAnsi="Tahoma" w:cs="Tahoma"/>
      <w:sz w:val="16"/>
      <w:szCs w:val="16"/>
      <w:lang w:val="fr-FR"/>
    </w:rPr>
  </w:style>
  <w:style w:type="table" w:styleId="Grilledutableau">
    <w:name w:val="Table Grid"/>
    <w:basedOn w:val="TableauNormal"/>
    <w:uiPriority w:val="59"/>
    <w:rsid w:val="00BA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semiHidden/>
    <w:rsid w:val="004D4954"/>
    <w:rPr>
      <w:vertAlign w:val="superscript"/>
    </w:rPr>
  </w:style>
  <w:style w:type="paragraph" w:customStyle="1" w:styleId="Notebaspage">
    <w:name w:val="Note_bas_page"/>
    <w:basedOn w:val="Notedebasdepage"/>
    <w:link w:val="NotebaspageCar"/>
    <w:qFormat/>
    <w:rsid w:val="004D4954"/>
    <w:pPr>
      <w:jc w:val="both"/>
    </w:pPr>
    <w:rPr>
      <w:sz w:val="18"/>
      <w:szCs w:val="18"/>
      <w:lang w:eastAsia="fr-FR"/>
    </w:rPr>
  </w:style>
  <w:style w:type="character" w:customStyle="1" w:styleId="NotebaspageCar">
    <w:name w:val="Note_bas_page Car"/>
    <w:basedOn w:val="NotedebasdepageCar"/>
    <w:link w:val="Notebaspage"/>
    <w:rsid w:val="004D4954"/>
    <w:rPr>
      <w:sz w:val="18"/>
      <w:szCs w:val="18"/>
      <w:lang w:val="fr-FR" w:eastAsia="fr-FR"/>
    </w:rPr>
  </w:style>
  <w:style w:type="paragraph" w:styleId="Notedebasdepage">
    <w:name w:val="footnote text"/>
    <w:basedOn w:val="Normal"/>
    <w:link w:val="NotedebasdepageCar"/>
    <w:uiPriority w:val="99"/>
    <w:semiHidden/>
    <w:unhideWhenUsed/>
    <w:rsid w:val="004D4954"/>
  </w:style>
  <w:style w:type="character" w:customStyle="1" w:styleId="NotedebasdepageCar">
    <w:name w:val="Note de bas de page Car"/>
    <w:basedOn w:val="Policepardfaut"/>
    <w:link w:val="Notedebasdepage"/>
    <w:uiPriority w:val="99"/>
    <w:semiHidden/>
    <w:rsid w:val="004D4954"/>
    <w:rPr>
      <w:lang w:val="fr-FR"/>
    </w:rPr>
  </w:style>
  <w:style w:type="paragraph" w:styleId="Paragraphedeliste">
    <w:name w:val="List Paragraph"/>
    <w:basedOn w:val="Normal"/>
    <w:uiPriority w:val="34"/>
    <w:qFormat/>
    <w:rsid w:val="00C37CA9"/>
    <w:pPr>
      <w:ind w:left="720"/>
      <w:contextualSpacing/>
    </w:pPr>
  </w:style>
  <w:style w:type="character" w:customStyle="1" w:styleId="Titre7Car">
    <w:name w:val="Titre 7 Car"/>
    <w:basedOn w:val="Policepardfaut"/>
    <w:link w:val="Titre7"/>
    <w:rsid w:val="00CE4570"/>
    <w:rPr>
      <w:rFonts w:asciiTheme="majorHAnsi" w:eastAsiaTheme="majorEastAsia" w:hAnsiTheme="majorHAnsi" w:cstheme="majorBidi"/>
      <w:i/>
      <w:iCs/>
      <w:color w:val="404040" w:themeColor="text1" w:themeTint="BF"/>
      <w:lang w:val="fr-FR"/>
    </w:rPr>
  </w:style>
  <w:style w:type="character" w:styleId="Marquedecommentaire">
    <w:name w:val="annotation reference"/>
    <w:basedOn w:val="Policepardfaut"/>
    <w:uiPriority w:val="99"/>
    <w:semiHidden/>
    <w:unhideWhenUsed/>
    <w:rsid w:val="00D21CE5"/>
    <w:rPr>
      <w:sz w:val="16"/>
      <w:szCs w:val="16"/>
    </w:rPr>
  </w:style>
  <w:style w:type="paragraph" w:styleId="Commentaire">
    <w:name w:val="annotation text"/>
    <w:basedOn w:val="Normal"/>
    <w:link w:val="CommentaireCar"/>
    <w:uiPriority w:val="99"/>
    <w:semiHidden/>
    <w:unhideWhenUsed/>
    <w:rsid w:val="00D21CE5"/>
  </w:style>
  <w:style w:type="character" w:customStyle="1" w:styleId="CommentaireCar">
    <w:name w:val="Commentaire Car"/>
    <w:basedOn w:val="Policepardfaut"/>
    <w:link w:val="Commentaire"/>
    <w:uiPriority w:val="99"/>
    <w:semiHidden/>
    <w:rsid w:val="00D21CE5"/>
    <w:rPr>
      <w:lang w:val="fr-FR"/>
    </w:rPr>
  </w:style>
  <w:style w:type="paragraph" w:styleId="Objetducommentaire">
    <w:name w:val="annotation subject"/>
    <w:basedOn w:val="Commentaire"/>
    <w:next w:val="Commentaire"/>
    <w:link w:val="ObjetducommentaireCar"/>
    <w:uiPriority w:val="99"/>
    <w:semiHidden/>
    <w:unhideWhenUsed/>
    <w:rsid w:val="00D21CE5"/>
    <w:rPr>
      <w:b/>
      <w:bCs/>
    </w:rPr>
  </w:style>
  <w:style w:type="character" w:customStyle="1" w:styleId="ObjetducommentaireCar">
    <w:name w:val="Objet du commentaire Car"/>
    <w:basedOn w:val="CommentaireCar"/>
    <w:link w:val="Objetducommentaire"/>
    <w:uiPriority w:val="99"/>
    <w:semiHidden/>
    <w:rsid w:val="00D21CE5"/>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10329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Aménagement de la forêt communale de Bastogne</vt:lpstr>
    </vt:vector>
  </TitlesOfParts>
  <Company>M.R.W.</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Aménagement de la forêt communale de Bastogne</dc:title>
  <dc:creator>MARCHAL_D</dc:creator>
  <cp:lastModifiedBy>Isabelle Capron</cp:lastModifiedBy>
  <cp:revision>2</cp:revision>
  <cp:lastPrinted>2013-07-08T08:40:00Z</cp:lastPrinted>
  <dcterms:created xsi:type="dcterms:W3CDTF">2021-08-10T08:43:00Z</dcterms:created>
  <dcterms:modified xsi:type="dcterms:W3CDTF">2021-08-10T08:43:00Z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francois.dewez@spw.wallonie.be</vt:lpwstr>
  </property>
  <property fmtid="{D5CDD505-2E9C-101B-9397-08002B2CF9AE}" pid="5" name="MSIP_Label_e72a09c5-6e26-4737-a926-47ef1ab198ae_SetDate">
    <vt:lpwstr>2019-08-14T07:41:24.7993987Z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8022fc33-af1c-459e-800a-71e9d1b177db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